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D527">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r>
        <w:rPr>
          <w:rFonts w:hint="eastAsia" w:ascii="方正小标宋简体" w:hAnsi="楷体" w:eastAsia="方正小标宋简体"/>
          <w:color w:val="000000" w:themeColor="text1"/>
          <w:sz w:val="44"/>
          <w:szCs w:val="44"/>
          <w14:textFill>
            <w14:solidFill>
              <w14:schemeClr w14:val="tx1"/>
            </w14:solidFill>
          </w14:textFill>
        </w:rPr>
        <w:t>宁德市图书馆关于开展202</w:t>
      </w:r>
      <w:r>
        <w:rPr>
          <w:rFonts w:ascii="方正小标宋简体" w:hAnsi="楷体" w:eastAsia="方正小标宋简体"/>
          <w:color w:val="000000" w:themeColor="text1"/>
          <w:sz w:val="44"/>
          <w:szCs w:val="44"/>
          <w14:textFill>
            <w14:solidFill>
              <w14:schemeClr w14:val="tx1"/>
            </w14:solidFill>
          </w14:textFill>
        </w:rPr>
        <w:t>6</w:t>
      </w:r>
      <w:r>
        <w:rPr>
          <w:rFonts w:hint="eastAsia" w:ascii="方正小标宋简体" w:hAnsi="楷体" w:eastAsia="方正小标宋简体"/>
          <w:color w:val="000000" w:themeColor="text1"/>
          <w:sz w:val="44"/>
          <w:szCs w:val="44"/>
          <w14:textFill>
            <w14:solidFill>
              <w14:schemeClr w14:val="tx1"/>
            </w14:solidFill>
          </w14:textFill>
        </w:rPr>
        <w:t>年线上</w:t>
      </w:r>
      <w:bookmarkStart w:id="0" w:name="_GoBack"/>
      <w:bookmarkEnd w:id="0"/>
    </w:p>
    <w:p w14:paraId="1E8B3CAA">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r>
        <w:rPr>
          <w:rFonts w:hint="eastAsia" w:ascii="方正小标宋简体" w:hAnsi="楷体" w:eastAsia="方正小标宋简体"/>
          <w:color w:val="000000" w:themeColor="text1"/>
          <w:sz w:val="44"/>
          <w:szCs w:val="44"/>
          <w14:textFill>
            <w14:solidFill>
              <w14:schemeClr w14:val="tx1"/>
            </w14:solidFill>
          </w14:textFill>
        </w:rPr>
        <w:t>阅读推广活动采购项目公告</w:t>
      </w:r>
    </w:p>
    <w:p w14:paraId="5EA30153">
      <w:pPr>
        <w:rPr>
          <w:color w:val="000000" w:themeColor="text1"/>
          <w14:textFill>
            <w14:solidFill>
              <w14:schemeClr w14:val="tx1"/>
            </w14:solidFill>
          </w14:textFill>
        </w:rPr>
      </w:pPr>
    </w:p>
    <w:p w14:paraId="1150B76A">
      <w:pPr>
        <w:adjustRightInd w:val="0"/>
        <w:snapToGrid w:val="0"/>
        <w:spacing w:before="100" w:beforeAutospacing="1" w:after="100" w:afterAutospacing="1"/>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为深入推进全民阅读工作，创新图书馆阅读推广服务模式，丰富线上文化服务内容，提升读者参与度、馆藏资源利用率及图书馆公共文化服务影响力，宁德市图书馆拟委托第三方开展202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年度线上阅读推广活动项目。</w:t>
      </w:r>
    </w:p>
    <w:p w14:paraId="1DA55E90">
      <w:pPr>
        <w:adjustRightInd w:val="0"/>
        <w:snapToGrid w:val="0"/>
        <w:spacing w:before="100" w:beforeAutospacing="1" w:after="100" w:afterAutospacing="1"/>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本项目通过采购专业第三方服务，常态化开展各类线上阅读推广主题活动，打造数字化阅读服务阵地。服务周期2026年内，需完成不少于13场高品质线上阅读推广活动，包含线上知识答题、阅读打卡、听书打卡等各类特色线上阅读活动，持续营造全民阅读氛围，完善图书馆数字化阅读服务体系。</w:t>
      </w:r>
    </w:p>
    <w:p w14:paraId="2E76B68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宁德市图书馆现向社会公开征集202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年线上阅读推广活动项目供应商，本项目通过比选的方式确定一家服务优质高效的供应商，欢迎符合要求的公司参加本次比选。现将有关事项公告如下：</w:t>
      </w:r>
    </w:p>
    <w:p w14:paraId="1B44352D">
      <w:pPr>
        <w:pStyle w:val="7"/>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color w:val="000000" w:themeColor="text1"/>
          <w:sz w:val="32"/>
          <w:szCs w:val="32"/>
          <w14:textFill>
            <w14:solidFill>
              <w14:schemeClr w14:val="tx1"/>
            </w14:solidFill>
          </w14:textFill>
        </w:rPr>
      </w:pPr>
      <w:r>
        <w:rPr>
          <w:rStyle w:val="11"/>
          <w:rFonts w:hint="eastAsia" w:ascii="仿宋" w:hAnsi="仿宋" w:eastAsia="仿宋" w:cs="仿宋_GB2312"/>
          <w:color w:val="000000" w:themeColor="text1"/>
          <w:sz w:val="32"/>
          <w:szCs w:val="32"/>
          <w14:textFill>
            <w14:solidFill>
              <w14:schemeClr w14:val="tx1"/>
            </w14:solidFill>
          </w14:textFill>
        </w:rPr>
        <w:t>一、本项目采购内容及预算</w:t>
      </w:r>
    </w:p>
    <w:tbl>
      <w:tblPr>
        <w:tblStyle w:val="9"/>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415"/>
        <w:gridCol w:w="1395"/>
        <w:gridCol w:w="2220"/>
      </w:tblGrid>
      <w:tr w14:paraId="4CD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center"/>
          </w:tcPr>
          <w:p w14:paraId="22B8CFAC">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采购内容</w:t>
            </w:r>
          </w:p>
        </w:tc>
        <w:tc>
          <w:tcPr>
            <w:tcW w:w="2415" w:type="dxa"/>
            <w:vAlign w:val="center"/>
          </w:tcPr>
          <w:p w14:paraId="2703C889">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预算金额（人民币）</w:t>
            </w:r>
          </w:p>
        </w:tc>
        <w:tc>
          <w:tcPr>
            <w:tcW w:w="1395" w:type="dxa"/>
            <w:vAlign w:val="center"/>
          </w:tcPr>
          <w:p w14:paraId="5730FB72">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中标人数量</w:t>
            </w:r>
          </w:p>
        </w:tc>
        <w:tc>
          <w:tcPr>
            <w:tcW w:w="2220" w:type="dxa"/>
            <w:vAlign w:val="center"/>
          </w:tcPr>
          <w:p w14:paraId="0D2B2FCA">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服务期</w:t>
            </w:r>
          </w:p>
        </w:tc>
      </w:tr>
      <w:tr w14:paraId="025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center"/>
          </w:tcPr>
          <w:p w14:paraId="6825101A">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w:t>
            </w:r>
            <w:r>
              <w:rPr>
                <w:rFonts w:ascii="仿宋" w:hAnsi="仿宋" w:eastAsia="仿宋" w:cs="仿宋_GB2312"/>
                <w:color w:val="000000" w:themeColor="text1"/>
                <w:sz w:val="32"/>
                <w:szCs w:val="32"/>
                <w14:textFill>
                  <w14:solidFill>
                    <w14:schemeClr w14:val="tx1"/>
                  </w14:solidFill>
                </w14:textFill>
              </w:rPr>
              <w:t>026</w:t>
            </w:r>
            <w:r>
              <w:rPr>
                <w:rFonts w:hint="eastAsia" w:ascii="仿宋" w:hAnsi="仿宋" w:eastAsia="仿宋" w:cs="仿宋_GB2312"/>
                <w:color w:val="000000" w:themeColor="text1"/>
                <w:sz w:val="32"/>
                <w:szCs w:val="32"/>
                <w14:textFill>
                  <w14:solidFill>
                    <w14:schemeClr w14:val="tx1"/>
                  </w14:solidFill>
                </w14:textFill>
              </w:rPr>
              <w:t>年度线上</w:t>
            </w:r>
          </w:p>
          <w:p w14:paraId="25E11553">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阅读推广活动</w:t>
            </w:r>
          </w:p>
          <w:p w14:paraId="7A8F7D7B">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（包含奖品）</w:t>
            </w:r>
          </w:p>
        </w:tc>
        <w:tc>
          <w:tcPr>
            <w:tcW w:w="2415" w:type="dxa"/>
            <w:vAlign w:val="center"/>
          </w:tcPr>
          <w:p w14:paraId="2BA04AC5">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30</w:t>
            </w:r>
            <w:r>
              <w:rPr>
                <w:rFonts w:hint="eastAsia" w:ascii="仿宋" w:hAnsi="仿宋" w:eastAsia="仿宋" w:cs="仿宋_GB2312"/>
                <w:color w:val="000000" w:themeColor="text1"/>
                <w:sz w:val="32"/>
                <w:szCs w:val="32"/>
                <w14:textFill>
                  <w14:solidFill>
                    <w14:schemeClr w14:val="tx1"/>
                  </w14:solidFill>
                </w14:textFill>
              </w:rPr>
              <w:t>000.00</w:t>
            </w:r>
          </w:p>
          <w:p w14:paraId="46FBEA51">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以内</w:t>
            </w:r>
          </w:p>
        </w:tc>
        <w:tc>
          <w:tcPr>
            <w:tcW w:w="1395" w:type="dxa"/>
            <w:vAlign w:val="center"/>
          </w:tcPr>
          <w:p w14:paraId="4959051C">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1家</w:t>
            </w:r>
          </w:p>
        </w:tc>
        <w:tc>
          <w:tcPr>
            <w:tcW w:w="2220" w:type="dxa"/>
            <w:vAlign w:val="center"/>
          </w:tcPr>
          <w:p w14:paraId="5C06A5BD">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以采购人通知</w:t>
            </w:r>
          </w:p>
          <w:p w14:paraId="7725DB49">
            <w:pPr>
              <w:pStyle w:val="7"/>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为准</w:t>
            </w:r>
          </w:p>
        </w:tc>
      </w:tr>
    </w:tbl>
    <w:p w14:paraId="62A3C7D1">
      <w:pPr>
        <w:pStyle w:val="7"/>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Style w:val="11"/>
          <w:rFonts w:hint="eastAsia" w:ascii="仿宋" w:hAnsi="仿宋" w:eastAsia="仿宋" w:cs="仿宋_GB2312"/>
          <w:color w:val="000000" w:themeColor="text1"/>
          <w:sz w:val="32"/>
          <w:szCs w:val="32"/>
          <w14:textFill>
            <w14:solidFill>
              <w14:schemeClr w14:val="tx1"/>
            </w14:solidFill>
          </w14:textFill>
        </w:rPr>
        <w:t>二</w:t>
      </w: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、总体要求</w:t>
      </w:r>
    </w:p>
    <w:p w14:paraId="40358FDE">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（一）供应商应对所有的采购内容进行报价，不允许只对部分内容进行报价。</w:t>
      </w:r>
    </w:p>
    <w:p w14:paraId="61DD1A8D">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（二）供应商在满足用户需求各项要求的基础之上，可提供附设的优惠条件。</w:t>
      </w:r>
    </w:p>
    <w:p w14:paraId="32EDFC3D">
      <w:pPr>
        <w:pStyle w:val="7"/>
        <w:shd w:val="clear" w:color="auto" w:fill="FFFFFF"/>
        <w:adjustRightInd w:val="0"/>
        <w:snapToGrid w:val="0"/>
        <w:spacing w:before="0" w:beforeAutospacing="0" w:after="0" w:afterAutospacing="0"/>
        <w:ind w:firstLine="643" w:firstLineChars="200"/>
        <w:contextualSpacing/>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三、总体技术与服务要求</w:t>
      </w:r>
    </w:p>
    <w:p w14:paraId="6EF27E62">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供应商需具备完整的线上阅读活动全流程落地服务能力，涵盖活动主题策划、方案撰写、页面视觉设计、程序功能搭建、线上运维、数据统计、活动复盘、素材归档等一体化服务。所有活动需适配图书馆公益服务属性，功能稳定、操作便捷、内容合规无版权风险，支持多终端参与、广泛传播，可适配图书馆官方新媒体及官网平台，满足常态化阅读推广运营需求。</w:t>
      </w:r>
    </w:p>
    <w:p w14:paraId="67E767B7">
      <w:pPr>
        <w:pStyle w:val="7"/>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四、具体服务技术参数标准</w:t>
      </w:r>
    </w:p>
    <w:p w14:paraId="3382C9E6">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（一）活动场次与排期要求</w:t>
      </w:r>
    </w:p>
    <w:p w14:paraId="3B883E0B">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合同服务期内，累计完成不少于</w:t>
      </w:r>
      <w:r>
        <w:rPr>
          <w:rFonts w:ascii="仿宋" w:hAnsi="仿宋" w:eastAsia="仿宋" w:cs="仿宋_GB2312"/>
          <w:color w:val="000000" w:themeColor="text1"/>
          <w:kern w:val="2"/>
          <w:sz w:val="32"/>
          <w:szCs w:val="32"/>
          <w:shd w:val="clear" w:color="auto" w:fill="FFFFFF"/>
          <w14:textFill>
            <w14:solidFill>
              <w14:schemeClr w14:val="tx1"/>
            </w14:solidFill>
          </w14:textFill>
        </w:rPr>
        <w:t>1</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场线上阅读推广活动。实行常态化均衡运营机制，结合传统节日、寒暑假、重大宣传节点均衡排期开展，无集中凑数、无空档停更，可根据图书馆临时工作安排、专项阅读推广任务灵活调整、加急落地，保障全年阅读推广活动常态化、持续化开展。</w:t>
      </w:r>
    </w:p>
    <w:p w14:paraId="74C0FC64">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（二）活动类型与内容范围</w:t>
      </w:r>
    </w:p>
    <w:p w14:paraId="2A9F84B6">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供应商需围绕全民阅读推广核心，自主策划+按需定制各类线上活动，年度活动品类需全覆盖以下核心类型，不得单一化重复，活动形式丰富多样：</w:t>
      </w:r>
    </w:p>
    <w:p w14:paraId="44B301AC">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线上知识答题活动：围绕经典名著、国学文化、科普知识、红色文化、图书馆常识、普法安全、心理健康等主题开展线上有奖/公益答题活动，支持题库批量更新、随机出题、限时答题。</w:t>
      </w:r>
    </w:p>
    <w:p w14:paraId="22540F3C">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线上阅读打卡活动：支持每日阅读打卡、周期打卡、主题书单打卡，适配寒暑假阅读、每日共读、主题阅读打卡等场景，支持打卡记录留存、积分统计、连续打卡排行。</w:t>
      </w:r>
    </w:p>
    <w:p w14:paraId="10CEA15E">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3.线上听书打卡活动：支持每日阅读打卡、周期打卡、主题书单打卡，适配寒暑假阅读、每日共读、主题阅读打卡等场景，支持打卡记录留存、积分统计、连续打卡排行。</w:t>
      </w:r>
    </w:p>
    <w:p w14:paraId="6361E6AE">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4</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主题专项活动：配合传统节日、思政教育、科普宣传等节点，定制专属线上阅读推广专项活动。</w:t>
      </w:r>
    </w:p>
    <w:p w14:paraId="3DDB95A6">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（三）各类活动功能硬性技术标准</w:t>
      </w:r>
    </w:p>
    <w:p w14:paraId="2C08E57C">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所有线上活动均采用H5自适应页面搭建，无需下载APP、无需注册复杂账号，支持微信、浏览器全终端打开参与，功能稳定、无卡顿、无bug，各类活动需满足以下核心参数：</w:t>
      </w:r>
    </w:p>
    <w:p w14:paraId="6C589A44">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通用基础功能：所有活动页面独立设计专属主视觉，风格贴合图书馆公益书香氛围；支持读者自主参与、数据自动统计、后台实时管理；支持活动时间自定义设置（报名期、开展期、兑奖期）；支持活动规则自定义编辑。</w:t>
      </w:r>
    </w:p>
    <w:p w14:paraId="1E2302D7">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线上答题功能标准：支持单选、多选、判断、简答多题型；支持题库批量导入导出、随机抽题、固定出题；支持限时答题、自动计分、错题统计、答题排名；支持防重复答题、IP限制、身份校验功能；答题结束自动生成成绩海报、成绩单。</w:t>
      </w:r>
    </w:p>
    <w:p w14:paraId="4030A761">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阅读打卡功能标准：支持日打卡、连续打卡、周期打卡模式；支持打卡内容上传（文字、图片）；自动记录打卡天数、连续打卡记录、打卡积分；支持打卡排行榜、后台一键导出打卡数据；支持打卡提醒、补卡设置功能。</w:t>
      </w:r>
    </w:p>
    <w:p w14:paraId="5E8C4822">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4.线上听书打卡活动：</w:t>
      </w:r>
      <w:r>
        <w:rPr>
          <w:rFonts w:hint="eastAsia" w:ascii="仿宋" w:hAnsi="仿宋" w:eastAsia="仿宋" w:cstheme="minorBidi"/>
          <w:kern w:val="2"/>
          <w:sz w:val="32"/>
          <w:szCs w:val="32"/>
        </w:rPr>
        <w:t>开展每日线上有声书打卡、周期打卡、主题书单打卡，</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支持打卡排行榜、后台一键导出打卡数据；支持打卡提醒、补卡设置功能。</w:t>
      </w:r>
    </w:p>
    <w:p w14:paraId="700A7D3C">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5.交互体验标准：手机、平板、电脑全终端自适应适配，操作简单便捷，适配全年龄段读者；活动页面加载快速、运行流畅，高并发访问无崩溃、无卡顿。</w:t>
      </w:r>
    </w:p>
    <w:p w14:paraId="5D736460">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6.版权合规标准：活动所用图片、字体、素材、文案、题库内容均为正版合规资源，无版权侵权风险，若产生侵权纠纷，由供应商承担全部责任与经济损失。</w:t>
      </w:r>
    </w:p>
    <w:p w14:paraId="0FE256F2">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（四）活动奖品</w:t>
      </w:r>
    </w:p>
    <w:p w14:paraId="685AC4F9">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本项目中每场活动的奖品应由供应商提供，单场设一等奖2名，二等奖3名，三等奖5名，单场活动奖品总价格不低于500元。</w:t>
      </w:r>
    </w:p>
    <w:p w14:paraId="43774781">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（五）单场活动全套交付成果</w:t>
      </w:r>
    </w:p>
    <w:p w14:paraId="51FEF3C8">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每场活动从策划、上线、运维至结束归档，需完整交付全套成果，所有成果使用权、发布权归甲方所有，具体包含：</w:t>
      </w:r>
    </w:p>
    <w:p w14:paraId="3CDB2A48">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完整活动策划方案、活动执行细则、宣传文案套装（预热、中期、收尾推文）</w:t>
      </w:r>
    </w:p>
    <w:p w14:paraId="3EF1D1D7">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活动专属H5线上参与链接，活动期间稳定可用，支持高并发访问</w:t>
      </w:r>
    </w:p>
    <w:p w14:paraId="5E0BFC19">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3</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活动全套视觉物料：主海报、轮播图、宣传配图、证书模板、榜单图等高清素材</w:t>
      </w:r>
    </w:p>
    <w:p w14:paraId="0CD32081">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4</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活动全程后台数据：参与人数、打卡数据、答题成绩、排名数据、获奖名单等完整数据报表（可编辑表格格式）</w:t>
      </w:r>
    </w:p>
    <w:p w14:paraId="1A92AB0A">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5</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活动收尾总结报告、活动精彩回顾图文素材</w:t>
      </w:r>
    </w:p>
    <w:p w14:paraId="07B85EA0">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6</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全套设计源文件、活动素材归档文件</w:t>
      </w:r>
    </w:p>
    <w:p w14:paraId="4712D83F">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（六）修改优化与全程运维服务</w:t>
      </w:r>
    </w:p>
    <w:p w14:paraId="38FEC49A">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活动策划、设计、制作阶段，支持不限次数免费修改优化，包含方案调整、文案修改、物料优化、功能微调、题库更新等，直至甲方验收通过。</w:t>
      </w:r>
    </w:p>
    <w:p w14:paraId="20C90803">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活动全程专人在线运维，实时监控活动运行状态，及时处理系统故障、读者咨询、数据异常等问题。</w:t>
      </w:r>
    </w:p>
    <w:p w14:paraId="5B451A2E">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3</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支持紧急加急活动需求，可在重大宣传节点快速完成策划、制作、上线全流程工作。</w:t>
      </w:r>
    </w:p>
    <w:p w14:paraId="050A2E4E">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4</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活动结束后免费提供数据整理、素材归档、报告优化等收尾服务。</w:t>
      </w:r>
    </w:p>
    <w:p w14:paraId="729F26C6">
      <w:pPr>
        <w:pStyle w:val="7"/>
        <w:shd w:val="clear" w:color="auto" w:fill="FFFFFF"/>
        <w:adjustRightInd w:val="0"/>
        <w:snapToGrid w:val="0"/>
        <w:spacing w:before="0" w:beforeAutospacing="0" w:after="0" w:afterAutospacing="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五、项目人员与服务响应标准</w:t>
      </w:r>
    </w:p>
    <w:p w14:paraId="5E9F5BDC">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供应商须组建专属项目服务团队，配备固定对接专员、活动策划、视觉设计、技术开发、运维人员，提供一对一全程专属服务。</w:t>
      </w:r>
    </w:p>
    <w:p w14:paraId="2293F059">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工作时间内30分钟内响应甲方需求及修改指令，常规调整24小时内交付完成，紧急活动需求优先加急处理。</w:t>
      </w:r>
    </w:p>
    <w:p w14:paraId="20784F9D">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3</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每场活动配备专属执行人员，全程跟进活动预热、上线、运维、收尾、归档全流程，保障活动顺利落地。</w:t>
      </w:r>
    </w:p>
    <w:p w14:paraId="4293063D">
      <w:pPr>
        <w:pStyle w:val="7"/>
        <w:shd w:val="clear" w:color="auto" w:fill="FFFFFF"/>
        <w:adjustRightInd w:val="0"/>
        <w:snapToGrid w:val="0"/>
        <w:spacing w:before="0" w:beforeAutospacing="0" w:after="0" w:afterAutospacing="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六、平台技术稳定性要求</w:t>
      </w:r>
    </w:p>
    <w:p w14:paraId="1D632196">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活动部署服务器稳定，支持高并发访问，高峰期无宕机、无闪退、无数据丢失、无链接失效问题。</w:t>
      </w:r>
    </w:p>
    <w:p w14:paraId="7F0C3FA5">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活动数据实时自动备份，保障参与数据、打卡数据、成绩数据完整留存，可随时导出查询。</w:t>
      </w:r>
    </w:p>
    <w:p w14:paraId="13F29A13">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3</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支持无缝嵌入图书馆官网、微信公众号、视频号、社群等官方宣传端口，适配多渠道推广传播。</w:t>
      </w:r>
    </w:p>
    <w:p w14:paraId="5D0D8B90">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4</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服务期内所有活动数据永久留存，支持甲方随时调取查阅。</w:t>
      </w:r>
    </w:p>
    <w:p w14:paraId="6BB00A25">
      <w:pPr>
        <w:pStyle w:val="7"/>
        <w:shd w:val="clear" w:color="auto" w:fill="FFFFFF"/>
        <w:adjustRightInd w:val="0"/>
        <w:snapToGrid w:val="0"/>
        <w:spacing w:before="0" w:beforeAutospacing="0" w:after="0" w:afterAutospacing="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七、验收标准与方式</w:t>
      </w:r>
    </w:p>
    <w:p w14:paraId="5B8230CA">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项目实行单场验收、分批验收、年度总验收模式。单场活动落地运行正常、功能齐全、内容合规、物料完整、数据准确、无运行故障即为合格。全年累计完成不少于</w:t>
      </w:r>
      <w:r>
        <w:rPr>
          <w:rFonts w:ascii="仿宋" w:hAnsi="仿宋" w:eastAsia="仿宋" w:cs="仿宋_GB2312"/>
          <w:color w:val="000000" w:themeColor="text1"/>
          <w:kern w:val="2"/>
          <w:sz w:val="32"/>
          <w:szCs w:val="32"/>
          <w:shd w:val="clear" w:color="auto" w:fill="FFFFFF"/>
          <w14:textFill>
            <w14:solidFill>
              <w14:schemeClr w14:val="tx1"/>
            </w14:solidFill>
          </w14:textFill>
        </w:rPr>
        <w:t>13</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场合格线上阅读推广活动，活动类型丰富、无重复敷衍、无质量问题、无版权纠纷、全套资料归档完整，完成年度整体验收。</w:t>
      </w:r>
    </w:p>
    <w:p w14:paraId="2C969F42">
      <w:pPr>
        <w:pStyle w:val="7"/>
        <w:shd w:val="clear" w:color="auto" w:fill="FFFFFF"/>
        <w:adjustRightInd w:val="0"/>
        <w:snapToGrid w:val="0"/>
        <w:spacing w:before="0" w:beforeAutospacing="0" w:after="0" w:afterAutospacing="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八、服务约束与违约要求</w:t>
      </w:r>
    </w:p>
    <w:p w14:paraId="296873B4">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1</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严禁使用劣质模板、搬运拼凑内容、低质素材制作活动，杜绝活动形式单一、敷衍凑数。</w:t>
      </w:r>
    </w:p>
    <w:p w14:paraId="272B9A3B">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微软雅黑"/>
          <w:color w:val="000000" w:themeColor="text1"/>
          <w:kern w:val="2"/>
          <w:sz w:val="32"/>
          <w:szCs w:val="32"/>
          <w:shd w:val="clear" w:color="auto" w:fill="FFFFFF"/>
          <w14:textFill>
            <w14:solidFill>
              <w14:schemeClr w14:val="tx1"/>
            </w14:solidFill>
          </w14:textFill>
        </w:rPr>
        <w:t>2</w:t>
      </w:r>
      <w:r>
        <w:rPr>
          <w:rFonts w:ascii="仿宋" w:hAnsi="仿宋" w:eastAsia="仿宋" w:cs="微软雅黑"/>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所有活动内容、题库、文案、素材严格合规，无错别字、无敏感内容、无违规画面，符合公共文化宣传规范。</w:t>
      </w:r>
    </w:p>
    <w:p w14:paraId="4EC89B1B">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ascii="仿宋" w:hAnsi="仿宋" w:eastAsia="仿宋" w:cs="微软雅黑"/>
          <w:color w:val="000000" w:themeColor="text1"/>
          <w:kern w:val="2"/>
          <w:sz w:val="32"/>
          <w:szCs w:val="32"/>
          <w:shd w:val="clear" w:color="auto" w:fill="FFFFFF"/>
          <w14:textFill>
            <w14:solidFill>
              <w14:schemeClr w14:val="tx1"/>
            </w14:solidFill>
          </w14:textFill>
        </w:rPr>
        <w:t>3.</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若出现活动场次不足、功能故障、数据丢失、质量不达标、侵权纠纷、逾期交付等问题，甲方有权不予验收、扣除相应服务费，情节严重者可终止合同并追究相关责任。</w:t>
      </w:r>
    </w:p>
    <w:p w14:paraId="0F459890">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九、供应商资格</w:t>
      </w:r>
    </w:p>
    <w:p w14:paraId="7BFA83C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（一）必须符合《中华人民共和国政府采购法》第二十二条规定的条件，提供以下材料：</w:t>
      </w:r>
    </w:p>
    <w:p w14:paraId="549D9333">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1.提供营业执照（或事业单位法人证书，或社会团体法人登记证书，或执业许可证）复印件；</w:t>
      </w:r>
    </w:p>
    <w:p w14:paraId="3C24F0C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2.提供202</w:t>
      </w:r>
      <w:r>
        <w:rPr>
          <w:rFonts w:ascii="仿宋" w:hAnsi="仿宋" w:eastAsia="仿宋" w:cs="仿宋_GB2312"/>
          <w:color w:val="000000" w:themeColor="text1"/>
          <w:sz w:val="32"/>
          <w:szCs w:val="32"/>
          <w:shd w:val="clear" w:color="auto" w:fill="FFFFFF"/>
          <w14:textFill>
            <w14:solidFill>
              <w14:schemeClr w14:val="tx1"/>
            </w14:solidFill>
          </w14:textFill>
        </w:rPr>
        <w:t>4</w:t>
      </w:r>
      <w:r>
        <w:rPr>
          <w:rFonts w:hint="eastAsia" w:ascii="仿宋" w:hAnsi="仿宋" w:eastAsia="仿宋" w:cs="仿宋_GB2312"/>
          <w:color w:val="000000" w:themeColor="text1"/>
          <w:sz w:val="32"/>
          <w:szCs w:val="32"/>
          <w:shd w:val="clear" w:color="auto" w:fill="FFFFFF"/>
          <w14:textFill>
            <w14:solidFill>
              <w14:schemeClr w14:val="tx1"/>
            </w14:solidFill>
          </w14:textFill>
        </w:rPr>
        <w:t>年或202</w:t>
      </w:r>
      <w:r>
        <w:rPr>
          <w:rFonts w:ascii="仿宋" w:hAnsi="仿宋" w:eastAsia="仿宋" w:cs="仿宋_GB2312"/>
          <w:color w:val="000000" w:themeColor="text1"/>
          <w:sz w:val="32"/>
          <w:szCs w:val="32"/>
          <w:shd w:val="clear" w:color="auto" w:fill="FFFFFF"/>
          <w14:textFill>
            <w14:solidFill>
              <w14:schemeClr w14:val="tx1"/>
            </w14:solidFill>
          </w14:textFill>
        </w:rPr>
        <w:t>5</w:t>
      </w:r>
      <w:r>
        <w:rPr>
          <w:rFonts w:hint="eastAsia" w:ascii="仿宋" w:hAnsi="仿宋" w:eastAsia="仿宋" w:cs="仿宋_GB2312"/>
          <w:color w:val="000000" w:themeColor="text1"/>
          <w:sz w:val="32"/>
          <w:szCs w:val="32"/>
          <w:shd w:val="clear" w:color="auto" w:fill="FFFFFF"/>
          <w14:textFill>
            <w14:solidFill>
              <w14:schemeClr w14:val="tx1"/>
            </w14:solidFill>
          </w14:textFill>
        </w:rPr>
        <w:t>年财务状况报告复印件或银行出具的资信证明材料复印件；</w:t>
      </w:r>
    </w:p>
    <w:p w14:paraId="70350529">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3.提供近半年任意一个月的依法缴纳税收的证明（纳税凭证）复印件，如依法免税的，应提供相应文件证明其依法免税；</w:t>
      </w:r>
    </w:p>
    <w:p w14:paraId="3D13E90F">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4.提供近半年任意一个月的依法缴纳社会保险的证明（缴费凭证）复印件，如依法不需要缴纳社会保障资金的，应提供相应文件证明其依法不需要缴纳社会保障资金；</w:t>
      </w:r>
    </w:p>
    <w:p w14:paraId="3FE0C55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5.提供履行合同所必需的设备和专业技术能力的书面声明；</w:t>
      </w:r>
    </w:p>
    <w:p w14:paraId="2CFF226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6.提供参加政府采购活动前3年内在经营活动中没有重大违法记录的书面声明。</w:t>
      </w:r>
    </w:p>
    <w:p w14:paraId="52D778B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2564F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（三）本项目不接受联合体报价</w:t>
      </w:r>
    </w:p>
    <w:p w14:paraId="2F3E361B">
      <w:pPr>
        <w:pStyle w:val="7"/>
        <w:shd w:val="clear" w:color="auto" w:fill="FFFFFF"/>
        <w:adjustRightInd w:val="0"/>
        <w:snapToGrid w:val="0"/>
        <w:spacing w:before="0" w:beforeAutospacing="0" w:after="0" w:afterAutospacing="0"/>
        <w:contextualSpacing/>
        <w:jc w:val="both"/>
        <w:rPr>
          <w:rFonts w:ascii="仿宋" w:hAnsi="仿宋" w:eastAsia="仿宋" w:cs="仿宋_GB2312"/>
          <w:b/>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color w:val="000000" w:themeColor="text1"/>
          <w:kern w:val="2"/>
          <w:sz w:val="32"/>
          <w:szCs w:val="32"/>
          <w:shd w:val="clear" w:color="auto" w:fill="FFFFFF"/>
          <w14:textFill>
            <w14:solidFill>
              <w14:schemeClr w14:val="tx1"/>
            </w14:solidFill>
          </w14:textFill>
        </w:rPr>
        <w:t>十、商务要求</w:t>
      </w:r>
    </w:p>
    <w:p w14:paraId="00AE83CD">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（一）服务方式。</w:t>
      </w:r>
    </w:p>
    <w:p w14:paraId="420308B8">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1.服务期：采购人指定日期。</w:t>
      </w:r>
    </w:p>
    <w:p w14:paraId="09724BFF">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2.服务地点：采购人指定地点。</w:t>
      </w:r>
    </w:p>
    <w:p w14:paraId="726245F3">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交付方式：线上活动落地运行+全套方案、数据、源文件打包归档交付。</w:t>
      </w:r>
    </w:p>
    <w:p w14:paraId="59B940E4">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（二）成果权属</w:t>
      </w:r>
    </w:p>
    <w:p w14:paraId="5203AF20">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本项目所有活动方案、设计物料、数据资料、程序成果的使用权、发布权、所有权归甲方所有，未经甲方许可，供应商不得擅自商用、转载、复用。</w:t>
      </w:r>
    </w:p>
    <w:p w14:paraId="00DA29B7">
      <w:pPr>
        <w:pStyle w:val="7"/>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（三）付款条件和付款方式。</w:t>
      </w:r>
    </w:p>
    <w:p w14:paraId="4C7F0E2C">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成交供应商在验收合格后30日内，经采购人确认无误后报账结算。凭以下有效文件原件由采购人支付货款：</w:t>
      </w:r>
    </w:p>
    <w:p w14:paraId="414F8CC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1.合同；2.与服务相应金额的正式发票。</w:t>
      </w:r>
    </w:p>
    <w:p w14:paraId="23D83E41">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十一、报价要求及方式</w:t>
      </w:r>
    </w:p>
    <w:p w14:paraId="39D9118A">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（一）有意参加本次比选的公司，请于202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年7月3日上午1</w:t>
      </w:r>
      <w:r>
        <w:rPr>
          <w:rFonts w:ascii="仿宋" w:hAnsi="仿宋" w:eastAsia="仿宋" w:cs="仿宋_GB2312"/>
          <w:color w:val="000000" w:themeColor="text1"/>
          <w:sz w:val="32"/>
          <w:szCs w:val="32"/>
          <w:shd w:val="clear" w:color="auto" w:fill="FFFFFF"/>
          <w14:textFill>
            <w14:solidFill>
              <w14:schemeClr w14:val="tx1"/>
            </w14:solidFill>
          </w14:textFill>
        </w:rPr>
        <w:t>8</w:t>
      </w:r>
      <w:r>
        <w:rPr>
          <w:rFonts w:hint="eastAsia" w:ascii="仿宋" w:hAnsi="仿宋" w:eastAsia="仿宋" w:cs="仿宋_GB2312"/>
          <w:color w:val="000000" w:themeColor="text1"/>
          <w:sz w:val="32"/>
          <w:szCs w:val="32"/>
          <w:shd w:val="clear" w:color="auto" w:fill="FFFFFF"/>
          <w14:textFill>
            <w14:solidFill>
              <w14:schemeClr w14:val="tx1"/>
            </w14:solidFill>
          </w14:textFill>
        </w:rPr>
        <w:t>:00前向我单位提交纸质比选响应文件 (报价材料一式两份，用文件袋封装，上下封口处加盖公司骑缝章)。地址：宁德市东侨经济技术开发区华庭路1号宁德市图书馆，联系人：吴老师；联系电话：0593-2716189。</w:t>
      </w:r>
    </w:p>
    <w:p w14:paraId="5782B160">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（二）响应文件应包含：</w:t>
      </w:r>
    </w:p>
    <w:p w14:paraId="4BDB8C5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本项目响应文件正本一份、副本两份，须加盖单位公章，副本可采用正本的复印件。</w:t>
      </w:r>
    </w:p>
    <w:p w14:paraId="40A39EA0">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1.资格审查文件（供应商符合“九、供应商资格”的证明材料）；</w:t>
      </w:r>
    </w:p>
    <w:p w14:paraId="600942BB">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2.服务方案；</w:t>
      </w:r>
    </w:p>
    <w:p w14:paraId="5E51DB4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3.报价（含税）。</w:t>
      </w:r>
    </w:p>
    <w:p w14:paraId="0555D005">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十二、评审办法</w:t>
      </w:r>
    </w:p>
    <w:p w14:paraId="4819FD2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（一）资格预审。我单位组成比选小组，按要求对参与报价的供应商进行资格预审。主要对其提交的有关资格证明文件，包括基本资格审查和专业资格审查等进行审查。</w:t>
      </w:r>
    </w:p>
    <w:p w14:paraId="2F9A4AB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（二）在符合采购需求、质量和服务相等的前提下，我单位组织的比选小组将以</w:t>
      </w:r>
      <w:r>
        <w:rPr>
          <w:rFonts w:hint="eastAsia" w:ascii="仿宋" w:hAnsi="仿宋" w:eastAsia="仿宋" w:cs="仿宋_GB2312"/>
          <w:b/>
          <w:color w:val="000000" w:themeColor="text1"/>
          <w:sz w:val="32"/>
          <w:szCs w:val="32"/>
          <w:shd w:val="clear" w:color="auto" w:fill="FFFFFF"/>
          <w14:textFill>
            <w14:solidFill>
              <w14:schemeClr w14:val="tx1"/>
            </w14:solidFill>
          </w14:textFill>
        </w:rPr>
        <w:t>最低报价</w:t>
      </w:r>
      <w:r>
        <w:rPr>
          <w:rFonts w:hint="eastAsia" w:ascii="仿宋" w:hAnsi="仿宋" w:eastAsia="仿宋" w:cs="仿宋_GB2312"/>
          <w:color w:val="000000" w:themeColor="text1"/>
          <w:sz w:val="32"/>
          <w:szCs w:val="32"/>
          <w:shd w:val="clear" w:color="auto" w:fill="FFFFFF"/>
          <w14:textFill>
            <w14:solidFill>
              <w14:schemeClr w14:val="tx1"/>
            </w14:solidFill>
          </w14:textFill>
        </w:rPr>
        <w:t>的供应商作为成交供应商。</w:t>
      </w:r>
    </w:p>
    <w:p w14:paraId="637E65BF">
      <w:pPr>
        <w:adjustRightInd w:val="0"/>
        <w:snapToGrid w:val="0"/>
        <w:contextualSpacing/>
        <w:rPr>
          <w:rFonts w:ascii="仿宋" w:hAnsi="仿宋" w:eastAsia="仿宋" w:cs="仿宋_GB2312"/>
          <w:b/>
          <w:bCs/>
          <w:color w:val="000000" w:themeColor="text1"/>
          <w:sz w:val="32"/>
          <w:szCs w:val="32"/>
          <w:shd w:val="clear" w:color="auto" w:fill="FFFFFF"/>
          <w14:textFill>
            <w14:solidFill>
              <w14:schemeClr w14:val="tx1"/>
            </w14:solidFill>
          </w14:textFill>
        </w:rPr>
      </w:pPr>
      <w:r>
        <w:rPr>
          <w:rFonts w:hint="eastAsia" w:ascii="仿宋" w:hAnsi="仿宋" w:eastAsia="仿宋" w:cs="仿宋_GB2312"/>
          <w:b/>
          <w:bCs/>
          <w:color w:val="000000" w:themeColor="text1"/>
          <w:sz w:val="32"/>
          <w:szCs w:val="32"/>
          <w:shd w:val="clear" w:color="auto" w:fill="FFFFFF"/>
          <w14:textFill>
            <w14:solidFill>
              <w14:schemeClr w14:val="tx1"/>
            </w14:solidFill>
          </w14:textFill>
        </w:rPr>
        <w:t>十三、报价文件格式</w:t>
      </w:r>
    </w:p>
    <w:p w14:paraId="674A4121">
      <w:pPr>
        <w:autoSpaceDE w:val="0"/>
        <w:autoSpaceDN w:val="0"/>
        <w:spacing w:line="640" w:lineRule="exact"/>
        <w:rPr>
          <w:rFonts w:ascii="宋体" w:hAnsi="宋体" w:eastAsia="宋体" w:cs="Times New Roman"/>
          <w:sz w:val="24"/>
          <w:szCs w:val="24"/>
          <w:lang w:val="zh-CN"/>
        </w:rPr>
      </w:pPr>
      <w:r>
        <w:rPr>
          <w:rFonts w:ascii="仿宋" w:hAnsi="仿宋" w:eastAsia="仿宋" w:cs="仿宋_GB2312"/>
          <w:b/>
          <w:color w:val="000000" w:themeColor="text1"/>
          <w:sz w:val="32"/>
          <w:szCs w:val="32"/>
          <w:shd w:val="clear" w:color="auto" w:fill="FFFFFF"/>
          <w14:textFill>
            <w14:solidFill>
              <w14:schemeClr w14:val="tx1"/>
            </w14:solidFill>
          </w14:textFill>
        </w:rPr>
        <w:br w:type="page"/>
      </w:r>
      <w:r>
        <w:rPr>
          <w:rFonts w:hint="eastAsia" w:ascii="宋体" w:hAnsi="宋体" w:eastAsia="宋体" w:cs="Times New Roman"/>
          <w:sz w:val="24"/>
          <w:szCs w:val="24"/>
          <w:lang w:val="zh-CN"/>
        </w:rPr>
        <w:t>附件1：</w:t>
      </w:r>
    </w:p>
    <w:p w14:paraId="09DBBB32">
      <w:pPr>
        <w:autoSpaceDE w:val="0"/>
        <w:autoSpaceDN w:val="0"/>
        <w:spacing w:line="640" w:lineRule="exact"/>
        <w:ind w:firstLine="480" w:firstLineChars="200"/>
        <w:jc w:val="center"/>
        <w:rPr>
          <w:rFonts w:ascii="宋体" w:hAnsi="宋体" w:eastAsia="宋体" w:cs="Times New Roman"/>
          <w:sz w:val="24"/>
          <w:szCs w:val="24"/>
          <w:lang w:val="zh-CN"/>
        </w:rPr>
      </w:pPr>
      <w:r>
        <w:rPr>
          <w:rFonts w:hint="eastAsia" w:ascii="宋体" w:hAnsi="宋体" w:eastAsia="宋体" w:cs="Times New Roman"/>
          <w:sz w:val="24"/>
          <w:szCs w:val="24"/>
          <w:lang w:val="zh-CN"/>
        </w:rPr>
        <w:t>报价一览表</w:t>
      </w:r>
    </w:p>
    <w:p w14:paraId="6878863E">
      <w:pPr>
        <w:autoSpaceDE w:val="0"/>
        <w:autoSpaceDN w:val="0"/>
        <w:spacing w:after="240"/>
        <w:rPr>
          <w:rFonts w:ascii="宋体" w:hAnsi="宋体" w:eastAsia="宋体" w:cs="Times New Roman"/>
          <w:sz w:val="24"/>
          <w:szCs w:val="24"/>
          <w:lang w:val="zh-CN"/>
        </w:rPr>
      </w:pP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6496"/>
      </w:tblGrid>
      <w:tr w14:paraId="7819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544" w:type="dxa"/>
            <w:vAlign w:val="center"/>
          </w:tcPr>
          <w:p w14:paraId="40A760F9">
            <w:pPr>
              <w:autoSpaceDE w:val="0"/>
              <w:autoSpaceDN w:val="0"/>
              <w:jc w:val="center"/>
              <w:rPr>
                <w:rFonts w:ascii="宋体" w:hAnsi="宋体" w:eastAsia="宋体" w:cs="Times New Roman"/>
                <w:sz w:val="24"/>
                <w:szCs w:val="24"/>
                <w:lang w:val="zh-CN"/>
              </w:rPr>
            </w:pPr>
            <w:r>
              <w:rPr>
                <w:rFonts w:hint="eastAsia" w:ascii="宋体" w:hAnsi="宋体" w:eastAsia="宋体" w:cs="Times New Roman"/>
                <w:sz w:val="24"/>
                <w:szCs w:val="24"/>
                <w:lang w:val="zh-CN"/>
              </w:rPr>
              <w:t>项目名称</w:t>
            </w:r>
          </w:p>
        </w:tc>
        <w:tc>
          <w:tcPr>
            <w:tcW w:w="6496" w:type="dxa"/>
            <w:vAlign w:val="center"/>
          </w:tcPr>
          <w:p w14:paraId="6E5ACAF8">
            <w:pPr>
              <w:autoSpaceDE w:val="0"/>
              <w:autoSpaceDN w:val="0"/>
              <w:jc w:val="center"/>
              <w:rPr>
                <w:rFonts w:ascii="宋体" w:hAnsi="宋体" w:eastAsia="宋体" w:cs="Times New Roman"/>
                <w:szCs w:val="24"/>
                <w:lang w:val="zh-CN"/>
              </w:rPr>
            </w:pPr>
            <w:r>
              <w:rPr>
                <w:rFonts w:hint="eastAsia" w:ascii="宋体" w:hAnsi="宋体" w:eastAsia="宋体" w:cs="Times New Roman"/>
                <w:kern w:val="44"/>
                <w:sz w:val="24"/>
                <w:szCs w:val="24"/>
              </w:rPr>
              <w:t>宁德市图书馆2026年线上阅读推广活动项目</w:t>
            </w:r>
          </w:p>
        </w:tc>
      </w:tr>
      <w:tr w14:paraId="1D96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544" w:type="dxa"/>
            <w:vAlign w:val="center"/>
          </w:tcPr>
          <w:p w14:paraId="658E63F2">
            <w:pPr>
              <w:autoSpaceDE w:val="0"/>
              <w:autoSpaceDN w:val="0"/>
              <w:jc w:val="center"/>
              <w:rPr>
                <w:rFonts w:ascii="宋体" w:hAnsi="宋体" w:eastAsia="宋体" w:cs="Times New Roman"/>
                <w:sz w:val="24"/>
                <w:szCs w:val="24"/>
              </w:rPr>
            </w:pPr>
            <w:r>
              <w:rPr>
                <w:rFonts w:hint="eastAsia" w:ascii="宋体" w:hAnsi="宋体" w:eastAsia="宋体" w:cs="Times New Roman"/>
                <w:sz w:val="24"/>
                <w:szCs w:val="24"/>
                <w:lang w:val="zh-CN"/>
              </w:rPr>
              <w:t>投标总报价</w:t>
            </w:r>
          </w:p>
        </w:tc>
        <w:tc>
          <w:tcPr>
            <w:tcW w:w="6496" w:type="dxa"/>
            <w:vAlign w:val="center"/>
          </w:tcPr>
          <w:p w14:paraId="4F2E374D">
            <w:pPr>
              <w:autoSpaceDE w:val="0"/>
              <w:autoSpaceDN w:val="0"/>
              <w:ind w:firstLine="240" w:firstLineChars="100"/>
              <w:rPr>
                <w:rFonts w:ascii="宋体" w:hAnsi="宋体" w:eastAsia="宋体" w:cs="Times New Roman"/>
                <w:sz w:val="24"/>
                <w:szCs w:val="24"/>
              </w:rPr>
            </w:pPr>
            <w:r>
              <w:rPr>
                <w:rFonts w:hint="eastAsia" w:ascii="宋体" w:hAnsi="宋体" w:eastAsia="宋体" w:cs="Times New Roman"/>
                <w:sz w:val="24"/>
                <w:szCs w:val="24"/>
              </w:rPr>
              <w:t>小写：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p>
        </w:tc>
      </w:tr>
    </w:tbl>
    <w:p w14:paraId="67FE947D">
      <w:pPr>
        <w:autoSpaceDE w:val="0"/>
        <w:autoSpaceDN w:val="0"/>
        <w:jc w:val="center"/>
        <w:rPr>
          <w:rFonts w:ascii="宋体" w:hAnsi="宋体" w:eastAsia="宋体" w:cs="Times New Roman"/>
          <w:sz w:val="24"/>
          <w:szCs w:val="24"/>
        </w:rPr>
      </w:pPr>
    </w:p>
    <w:p w14:paraId="297C6363">
      <w:pPr>
        <w:autoSpaceDE w:val="0"/>
        <w:autoSpaceDN w:val="0"/>
        <w:jc w:val="center"/>
        <w:rPr>
          <w:rFonts w:ascii="宋体" w:hAnsi="宋体" w:eastAsia="宋体" w:cs="Times New Roman"/>
          <w:sz w:val="24"/>
          <w:szCs w:val="24"/>
        </w:rPr>
      </w:pPr>
    </w:p>
    <w:p w14:paraId="2F1888ED">
      <w:pPr>
        <w:autoSpaceDE w:val="0"/>
        <w:autoSpaceDN w:val="0"/>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投标人名称（公章）：</w:t>
      </w:r>
    </w:p>
    <w:p w14:paraId="6355B02E">
      <w:pPr>
        <w:autoSpaceDE w:val="0"/>
        <w:autoSpaceDN w:val="0"/>
        <w:rPr>
          <w:rFonts w:ascii="宋体" w:hAnsi="宋体" w:eastAsia="宋体" w:cs="Times New Roman"/>
          <w:sz w:val="24"/>
          <w:szCs w:val="24"/>
          <w:lang w:val="zh-CN"/>
        </w:rPr>
      </w:pPr>
    </w:p>
    <w:p w14:paraId="5BB13EA0">
      <w:pPr>
        <w:autoSpaceDE w:val="0"/>
        <w:autoSpaceDN w:val="0"/>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 xml:space="preserve">法定代表人或其授权代表（签字或盖章）：   </w:t>
      </w:r>
    </w:p>
    <w:p w14:paraId="0AFA59CF">
      <w:pPr>
        <w:autoSpaceDE w:val="0"/>
        <w:autoSpaceDN w:val="0"/>
        <w:spacing w:before="295" w:after="295"/>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日期：</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年</w:t>
      </w:r>
      <w:r>
        <w:rPr>
          <w:rFonts w:hint="eastAsia" w:ascii="宋体" w:hAnsi="宋体" w:eastAsia="宋体" w:cs="Times New Roman"/>
          <w:sz w:val="24"/>
          <w:szCs w:val="24"/>
          <w:u w:val="single"/>
          <w:lang w:val="zh-CN"/>
        </w:rPr>
        <w:t xml:space="preserve">  </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 xml:space="preserve"> 月</w:t>
      </w:r>
      <w:r>
        <w:rPr>
          <w:rFonts w:hint="eastAsia" w:ascii="宋体" w:hAnsi="宋体" w:eastAsia="宋体" w:cs="Times New Roman"/>
          <w:sz w:val="24"/>
          <w:szCs w:val="24"/>
          <w:u w:val="single"/>
          <w:lang w:val="zh-CN"/>
        </w:rPr>
        <w:t xml:space="preserve">  </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日</w:t>
      </w:r>
    </w:p>
    <w:p w14:paraId="4A8BF3B5">
      <w:pPr>
        <w:autoSpaceDE w:val="0"/>
        <w:autoSpaceDN w:val="0"/>
        <w:spacing w:before="295" w:after="295"/>
        <w:rPr>
          <w:rFonts w:ascii="宋体" w:hAnsi="宋体" w:eastAsia="宋体" w:cs="Times New Roman"/>
          <w:sz w:val="24"/>
          <w:szCs w:val="24"/>
          <w:lang w:val="zh-CN"/>
        </w:rPr>
      </w:pPr>
    </w:p>
    <w:p w14:paraId="48103B89">
      <w:pPr>
        <w:autoSpaceDE w:val="0"/>
        <w:autoSpaceDN w:val="0"/>
        <w:spacing w:line="640" w:lineRule="exact"/>
        <w:rPr>
          <w:rFonts w:ascii="宋体" w:hAnsi="宋体" w:eastAsia="宋体" w:cs="Times New Roman"/>
          <w:sz w:val="24"/>
          <w:szCs w:val="24"/>
          <w:lang w:val="zh-CN"/>
        </w:rPr>
      </w:pPr>
      <w:r>
        <w:rPr>
          <w:rFonts w:hint="eastAsia" w:ascii="宋体" w:hAnsi="宋体" w:eastAsia="宋体" w:cs="Times New Roman"/>
          <w:sz w:val="24"/>
          <w:szCs w:val="24"/>
          <w:lang w:val="zh-CN"/>
        </w:rPr>
        <w:br w:type="page"/>
      </w:r>
      <w:r>
        <w:rPr>
          <w:rFonts w:hint="eastAsia" w:ascii="宋体" w:hAnsi="宋体" w:eastAsia="宋体" w:cs="Times New Roman"/>
          <w:sz w:val="24"/>
          <w:szCs w:val="24"/>
          <w:lang w:val="zh-CN"/>
        </w:rPr>
        <w:t>附件2：</w:t>
      </w:r>
    </w:p>
    <w:p w14:paraId="23B1C73D">
      <w:pPr>
        <w:autoSpaceDE w:val="0"/>
        <w:autoSpaceDN w:val="0"/>
        <w:spacing w:line="640" w:lineRule="exact"/>
        <w:jc w:val="center"/>
        <w:rPr>
          <w:rFonts w:ascii="宋体" w:hAnsi="宋体" w:eastAsia="宋体" w:cs="Times New Roman"/>
          <w:sz w:val="24"/>
          <w:szCs w:val="24"/>
          <w:lang w:val="zh-CN"/>
        </w:rPr>
      </w:pPr>
      <w:r>
        <w:rPr>
          <w:rFonts w:hint="eastAsia" w:ascii="宋体" w:hAnsi="宋体" w:eastAsia="宋体" w:cs="Times New Roman"/>
          <w:sz w:val="24"/>
          <w:szCs w:val="24"/>
          <w:lang w:val="zh-CN"/>
        </w:rPr>
        <w:t>报价明细表</w:t>
      </w:r>
    </w:p>
    <w:p w14:paraId="5C11D284">
      <w:pPr>
        <w:autoSpaceDE w:val="0"/>
        <w:autoSpaceDN w:val="0"/>
        <w:spacing w:line="640" w:lineRule="exact"/>
        <w:jc w:val="center"/>
        <w:rPr>
          <w:rFonts w:ascii="宋体" w:hAnsi="宋体" w:eastAsia="宋体" w:cs="Times New Roman"/>
          <w:sz w:val="24"/>
          <w:szCs w:val="24"/>
          <w:lang w:val="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610"/>
        <w:gridCol w:w="1012"/>
        <w:gridCol w:w="1048"/>
        <w:gridCol w:w="1750"/>
        <w:gridCol w:w="1838"/>
      </w:tblGrid>
      <w:tr w14:paraId="4853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81" w:type="dxa"/>
            <w:vAlign w:val="center"/>
          </w:tcPr>
          <w:p w14:paraId="467A268F">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610" w:type="dxa"/>
            <w:vAlign w:val="center"/>
          </w:tcPr>
          <w:p w14:paraId="4054773D">
            <w:pPr>
              <w:jc w:val="center"/>
              <w:rPr>
                <w:rFonts w:ascii="宋体" w:hAnsi="宋体" w:eastAsia="宋体" w:cs="宋体"/>
                <w:sz w:val="24"/>
                <w:szCs w:val="24"/>
              </w:rPr>
            </w:pPr>
            <w:r>
              <w:rPr>
                <w:rFonts w:hint="eastAsia" w:ascii="宋体" w:hAnsi="宋体" w:eastAsia="宋体" w:cs="宋体"/>
                <w:sz w:val="24"/>
                <w:szCs w:val="24"/>
                <w:shd w:val="clear" w:color="auto" w:fill="FFFFFF"/>
              </w:rPr>
              <w:t>货物名称</w:t>
            </w:r>
          </w:p>
        </w:tc>
        <w:tc>
          <w:tcPr>
            <w:tcW w:w="1012" w:type="dxa"/>
            <w:shd w:val="clear" w:color="auto" w:fill="auto"/>
            <w:vAlign w:val="center"/>
          </w:tcPr>
          <w:p w14:paraId="036C500D">
            <w:pPr>
              <w:jc w:val="center"/>
              <w:rPr>
                <w:rFonts w:ascii="宋体" w:hAnsi="宋体" w:eastAsia="宋体" w:cs="宋体"/>
                <w:sz w:val="24"/>
                <w:szCs w:val="24"/>
              </w:rPr>
            </w:pPr>
            <w:r>
              <w:rPr>
                <w:rFonts w:hint="eastAsia" w:ascii="宋体" w:hAnsi="宋体" w:eastAsia="宋体" w:cs="宋体"/>
                <w:sz w:val="24"/>
                <w:szCs w:val="24"/>
                <w:shd w:val="clear" w:color="auto" w:fill="FFFFFF"/>
              </w:rPr>
              <w:t>数量</w:t>
            </w:r>
          </w:p>
        </w:tc>
        <w:tc>
          <w:tcPr>
            <w:tcW w:w="1048" w:type="dxa"/>
            <w:vAlign w:val="center"/>
          </w:tcPr>
          <w:p w14:paraId="63140CDE">
            <w:pPr>
              <w:jc w:val="center"/>
              <w:rPr>
                <w:rFonts w:ascii="宋体" w:hAnsi="宋体" w:eastAsia="宋体" w:cs="宋体"/>
                <w:sz w:val="24"/>
                <w:szCs w:val="24"/>
              </w:rPr>
            </w:pPr>
            <w:r>
              <w:rPr>
                <w:rFonts w:hint="eastAsia" w:ascii="宋体" w:hAnsi="宋体" w:eastAsia="宋体" w:cs="宋体"/>
                <w:sz w:val="24"/>
                <w:szCs w:val="24"/>
                <w:shd w:val="clear" w:color="auto" w:fill="FFFFFF"/>
              </w:rPr>
              <w:t>单位</w:t>
            </w:r>
          </w:p>
        </w:tc>
        <w:tc>
          <w:tcPr>
            <w:tcW w:w="1750" w:type="dxa"/>
            <w:vAlign w:val="center"/>
          </w:tcPr>
          <w:p w14:paraId="1BC3262C">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单价（元）</w:t>
            </w:r>
          </w:p>
        </w:tc>
        <w:tc>
          <w:tcPr>
            <w:tcW w:w="1838" w:type="dxa"/>
            <w:vAlign w:val="center"/>
          </w:tcPr>
          <w:p w14:paraId="2D1A39C4">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合价（元）</w:t>
            </w:r>
          </w:p>
        </w:tc>
      </w:tr>
      <w:tr w14:paraId="2575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81" w:type="dxa"/>
            <w:vAlign w:val="center"/>
          </w:tcPr>
          <w:p w14:paraId="7311A54C">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1</w:t>
            </w:r>
          </w:p>
        </w:tc>
        <w:tc>
          <w:tcPr>
            <w:tcW w:w="1610" w:type="dxa"/>
            <w:vAlign w:val="center"/>
          </w:tcPr>
          <w:p w14:paraId="7845DF80">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线上阅读推广活动</w:t>
            </w:r>
          </w:p>
        </w:tc>
        <w:tc>
          <w:tcPr>
            <w:tcW w:w="1012" w:type="dxa"/>
            <w:shd w:val="clear" w:color="auto" w:fill="auto"/>
            <w:vAlign w:val="center"/>
          </w:tcPr>
          <w:p w14:paraId="2B90A312">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13</w:t>
            </w:r>
          </w:p>
        </w:tc>
        <w:tc>
          <w:tcPr>
            <w:tcW w:w="1048" w:type="dxa"/>
            <w:vAlign w:val="center"/>
          </w:tcPr>
          <w:p w14:paraId="642FD16D">
            <w:pPr>
              <w:spacing w:line="280" w:lineRule="exact"/>
              <w:jc w:val="center"/>
              <w:outlineLvl w:val="1"/>
              <w:rPr>
                <w:rFonts w:ascii="宋体" w:hAnsi="宋体" w:eastAsia="宋体" w:cs="宋体"/>
                <w:sz w:val="24"/>
                <w:szCs w:val="24"/>
              </w:rPr>
            </w:pPr>
            <w:r>
              <w:rPr>
                <w:rFonts w:hint="eastAsia" w:ascii="宋体" w:hAnsi="宋体" w:eastAsia="宋体" w:cs="宋体"/>
                <w:sz w:val="24"/>
                <w:szCs w:val="24"/>
                <w:shd w:val="clear" w:color="auto" w:fill="FFFFFF"/>
              </w:rPr>
              <w:t>场</w:t>
            </w:r>
          </w:p>
        </w:tc>
        <w:tc>
          <w:tcPr>
            <w:tcW w:w="1750" w:type="dxa"/>
            <w:vAlign w:val="center"/>
          </w:tcPr>
          <w:p w14:paraId="515D66F3">
            <w:pPr>
              <w:spacing w:line="280" w:lineRule="exact"/>
              <w:jc w:val="center"/>
              <w:outlineLvl w:val="1"/>
              <w:rPr>
                <w:rFonts w:ascii="宋体" w:hAnsi="宋体" w:eastAsia="宋体" w:cs="宋体"/>
                <w:sz w:val="24"/>
                <w:szCs w:val="24"/>
              </w:rPr>
            </w:pPr>
          </w:p>
        </w:tc>
        <w:tc>
          <w:tcPr>
            <w:tcW w:w="1838" w:type="dxa"/>
            <w:vAlign w:val="center"/>
          </w:tcPr>
          <w:p w14:paraId="31696731">
            <w:pPr>
              <w:spacing w:line="280" w:lineRule="exact"/>
              <w:jc w:val="center"/>
              <w:outlineLvl w:val="1"/>
              <w:rPr>
                <w:rFonts w:ascii="宋体" w:hAnsi="宋体" w:eastAsia="宋体" w:cs="宋体"/>
                <w:sz w:val="24"/>
                <w:szCs w:val="24"/>
              </w:rPr>
            </w:pPr>
          </w:p>
        </w:tc>
      </w:tr>
      <w:tr w14:paraId="4C01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691" w:type="dxa"/>
            <w:gridSpan w:val="2"/>
            <w:vAlign w:val="center"/>
          </w:tcPr>
          <w:p w14:paraId="18D8E465">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总价</w:t>
            </w:r>
          </w:p>
        </w:tc>
        <w:tc>
          <w:tcPr>
            <w:tcW w:w="5648" w:type="dxa"/>
            <w:gridSpan w:val="4"/>
            <w:shd w:val="clear" w:color="auto" w:fill="auto"/>
            <w:vAlign w:val="center"/>
          </w:tcPr>
          <w:p w14:paraId="26C4A04C">
            <w:pPr>
              <w:spacing w:line="280" w:lineRule="exact"/>
              <w:jc w:val="right"/>
              <w:outlineLvl w:val="1"/>
              <w:rPr>
                <w:rFonts w:ascii="宋体" w:hAnsi="宋体" w:eastAsia="宋体" w:cs="宋体"/>
                <w:sz w:val="24"/>
                <w:szCs w:val="24"/>
              </w:rPr>
            </w:pPr>
            <w:r>
              <w:rPr>
                <w:rFonts w:hint="eastAsia" w:ascii="宋体" w:hAnsi="宋体" w:eastAsia="宋体" w:cs="宋体"/>
                <w:sz w:val="24"/>
                <w:szCs w:val="24"/>
              </w:rPr>
              <w:t>（元）</w:t>
            </w:r>
          </w:p>
        </w:tc>
      </w:tr>
    </w:tbl>
    <w:p w14:paraId="568AE03C">
      <w:pPr>
        <w:spacing w:line="360" w:lineRule="auto"/>
        <w:jc w:val="left"/>
        <w:outlineLvl w:val="0"/>
        <w:rPr>
          <w:rFonts w:ascii="宋体" w:hAnsi="宋体" w:eastAsia="宋体" w:cs="Times New Roman"/>
          <w:kern w:val="44"/>
          <w:sz w:val="24"/>
          <w:szCs w:val="24"/>
          <w:lang w:val="zh-CN"/>
        </w:rPr>
      </w:pPr>
    </w:p>
    <w:p w14:paraId="4565AD3C">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投标人名称（公章）：  </w:t>
      </w:r>
    </w:p>
    <w:p w14:paraId="34AF27F1">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法定代表人或其授权代表（签字或盖章）：   </w:t>
      </w:r>
    </w:p>
    <w:p w14:paraId="44441125">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日期：  </w:t>
      </w:r>
      <w:r>
        <w:rPr>
          <w:rFonts w:ascii="宋体" w:hAnsi="宋体" w:eastAsia="宋体" w:cs="Times New Roman"/>
          <w:kern w:val="44"/>
          <w:sz w:val="24"/>
          <w:szCs w:val="24"/>
          <w:lang w:val="zh-CN"/>
        </w:rPr>
        <w:t xml:space="preserve">    </w:t>
      </w:r>
      <w:r>
        <w:rPr>
          <w:rFonts w:hint="eastAsia" w:ascii="宋体" w:hAnsi="宋体" w:eastAsia="宋体" w:cs="Times New Roman"/>
          <w:kern w:val="44"/>
          <w:sz w:val="24"/>
          <w:szCs w:val="24"/>
          <w:lang w:val="zh-CN"/>
        </w:rPr>
        <w:t xml:space="preserve">   年      月  </w:t>
      </w:r>
      <w:r>
        <w:rPr>
          <w:rFonts w:hint="eastAsia" w:ascii="宋体" w:hAnsi="宋体" w:eastAsia="宋体" w:cs="Times New Roman"/>
          <w:kern w:val="44"/>
          <w:sz w:val="24"/>
          <w:szCs w:val="24"/>
        </w:rPr>
        <w:t xml:space="preserve">   </w:t>
      </w:r>
      <w:r>
        <w:rPr>
          <w:rFonts w:hint="eastAsia" w:ascii="宋体" w:hAnsi="宋体" w:eastAsia="宋体" w:cs="Times New Roman"/>
          <w:kern w:val="44"/>
          <w:sz w:val="24"/>
          <w:szCs w:val="24"/>
          <w:lang w:val="zh-CN"/>
        </w:rPr>
        <w:t xml:space="preserve"> 日         </w:t>
      </w:r>
    </w:p>
    <w:p w14:paraId="2B444CBB">
      <w:pPr>
        <w:spacing w:line="480" w:lineRule="auto"/>
        <w:jc w:val="center"/>
        <w:outlineLvl w:val="0"/>
        <w:rPr>
          <w:rFonts w:ascii="宋体" w:hAnsi="宋体" w:eastAsia="宋体" w:cs="Times New Roman"/>
          <w:kern w:val="44"/>
          <w:sz w:val="24"/>
          <w:szCs w:val="24"/>
          <w:lang w:val="zh-CN"/>
        </w:rPr>
      </w:pPr>
    </w:p>
    <w:p w14:paraId="72FF827A">
      <w:pPr>
        <w:spacing w:line="360" w:lineRule="auto"/>
        <w:jc w:val="center"/>
        <w:outlineLvl w:val="0"/>
        <w:rPr>
          <w:rFonts w:ascii="宋体" w:hAnsi="宋体" w:eastAsia="宋体" w:cs="Times New Roman"/>
          <w:kern w:val="44"/>
          <w:sz w:val="24"/>
          <w:szCs w:val="24"/>
          <w:lang w:val="zh-CN"/>
        </w:rPr>
      </w:pPr>
    </w:p>
    <w:p w14:paraId="6B878EB0">
      <w:pPr>
        <w:widowControl/>
        <w:jc w:val="left"/>
        <w:rPr>
          <w:rFonts w:ascii="宋体" w:hAnsi="宋体" w:eastAsia="宋体" w:cs="Times New Roman"/>
          <w:sz w:val="24"/>
          <w:szCs w:val="24"/>
          <w:lang w:val="zh-CN"/>
        </w:rPr>
      </w:pPr>
      <w:r>
        <w:rPr>
          <w:rFonts w:ascii="宋体" w:hAnsi="宋体" w:eastAsia="宋体" w:cs="Times New Roman"/>
          <w:sz w:val="24"/>
          <w:szCs w:val="24"/>
          <w:lang w:val="zh-CN"/>
        </w:rPr>
        <w:br w:type="page"/>
      </w:r>
    </w:p>
    <w:p w14:paraId="28E5428D">
      <w:pPr>
        <w:autoSpaceDE w:val="0"/>
        <w:autoSpaceDN w:val="0"/>
        <w:spacing w:line="640" w:lineRule="exact"/>
        <w:rPr>
          <w:rFonts w:ascii="宋体" w:hAnsi="宋体" w:eastAsia="宋体" w:cs="Times New Roman"/>
          <w:sz w:val="24"/>
          <w:szCs w:val="24"/>
          <w:lang w:val="zh-CN"/>
        </w:rPr>
      </w:pPr>
      <w:r>
        <w:rPr>
          <w:rFonts w:hint="eastAsia" w:ascii="宋体" w:hAnsi="宋体" w:eastAsia="宋体" w:cs="Times New Roman"/>
          <w:sz w:val="24"/>
          <w:szCs w:val="24"/>
          <w:lang w:val="zh-CN"/>
        </w:rPr>
        <w:t>附件</w:t>
      </w:r>
      <w:r>
        <w:rPr>
          <w:rFonts w:ascii="宋体" w:hAnsi="宋体" w:eastAsia="宋体" w:cs="Times New Roman"/>
          <w:sz w:val="24"/>
          <w:szCs w:val="24"/>
        </w:rPr>
        <w:t>3</w:t>
      </w:r>
      <w:r>
        <w:rPr>
          <w:rFonts w:hint="eastAsia" w:ascii="宋体" w:hAnsi="宋体" w:eastAsia="宋体" w:cs="Times New Roman"/>
          <w:sz w:val="24"/>
          <w:szCs w:val="24"/>
        </w:rPr>
        <w:t>：</w:t>
      </w:r>
    </w:p>
    <w:p w14:paraId="23614FA2">
      <w:pPr>
        <w:keepNext/>
        <w:keepLines/>
        <w:spacing w:before="340" w:after="330" w:line="576" w:lineRule="auto"/>
        <w:outlineLvl w:val="0"/>
        <w:rPr>
          <w:rFonts w:ascii="宋体" w:hAnsi="宋体" w:eastAsia="宋体" w:cs="Times New Roman"/>
          <w:sz w:val="24"/>
          <w:szCs w:val="24"/>
          <w:lang w:val="zh-CN"/>
        </w:rPr>
      </w:pPr>
      <w:r>
        <w:rPr>
          <w:rFonts w:hint="eastAsia" w:ascii="宋体" w:hAnsi="宋体" w:eastAsia="宋体" w:cs="Times New Roman"/>
          <w:sz w:val="24"/>
          <w:szCs w:val="24"/>
          <w:lang w:val="zh-CN"/>
        </w:rPr>
        <w:t>供应商资格要求相关证明文件（提供复印件加盖公章）</w:t>
      </w:r>
    </w:p>
    <w:p w14:paraId="5198641A">
      <w:pPr>
        <w:rPr>
          <w:rFonts w:ascii="宋体" w:hAnsi="宋体" w:eastAsia="宋体" w:cs="Times New Roman"/>
          <w:sz w:val="24"/>
          <w:szCs w:val="24"/>
          <w:lang w:val="zh-CN"/>
        </w:rPr>
      </w:pPr>
    </w:p>
    <w:p w14:paraId="43E4F3A9">
      <w:pPr>
        <w:rPr>
          <w:rFonts w:ascii="宋体" w:hAnsi="宋体" w:eastAsia="宋体" w:cs="Times New Roman"/>
          <w:sz w:val="24"/>
          <w:szCs w:val="24"/>
          <w:lang w:val="zh-CN"/>
        </w:rPr>
      </w:pPr>
    </w:p>
    <w:p w14:paraId="71BB00F8">
      <w:pPr>
        <w:rPr>
          <w:rFonts w:ascii="宋体" w:hAnsi="宋体" w:eastAsia="宋体" w:cs="Times New Roman"/>
          <w:sz w:val="24"/>
          <w:szCs w:val="24"/>
          <w:lang w:val="zh-CN"/>
        </w:rPr>
      </w:pPr>
    </w:p>
    <w:p w14:paraId="6FF735AE">
      <w:pPr>
        <w:rPr>
          <w:rFonts w:ascii="宋体" w:hAnsi="宋体" w:eastAsia="宋体" w:cs="Times New Roman"/>
          <w:sz w:val="24"/>
          <w:szCs w:val="24"/>
          <w:lang w:val="zh-CN"/>
        </w:rPr>
      </w:pPr>
    </w:p>
    <w:p w14:paraId="6A9FC25B">
      <w:pPr>
        <w:rPr>
          <w:rFonts w:ascii="宋体" w:hAnsi="宋体" w:eastAsia="宋体" w:cs="Times New Roman"/>
          <w:sz w:val="24"/>
          <w:szCs w:val="24"/>
          <w:lang w:val="zh-CN"/>
        </w:rPr>
      </w:pPr>
    </w:p>
    <w:p w14:paraId="646945AE">
      <w:pPr>
        <w:rPr>
          <w:rFonts w:ascii="宋体" w:hAnsi="宋体" w:eastAsia="宋体" w:cs="Times New Roman"/>
          <w:sz w:val="24"/>
          <w:szCs w:val="24"/>
          <w:lang w:val="zh-CN"/>
        </w:rPr>
      </w:pPr>
    </w:p>
    <w:p w14:paraId="6815797A">
      <w:pPr>
        <w:rPr>
          <w:rFonts w:ascii="宋体" w:hAnsi="宋体" w:eastAsia="宋体" w:cs="Times New Roman"/>
          <w:sz w:val="24"/>
          <w:szCs w:val="24"/>
          <w:lang w:val="zh-CN"/>
        </w:rPr>
      </w:pPr>
    </w:p>
    <w:p w14:paraId="44E929A6">
      <w:pPr>
        <w:rPr>
          <w:rFonts w:ascii="宋体" w:hAnsi="宋体" w:eastAsia="宋体" w:cs="Times New Roman"/>
          <w:sz w:val="24"/>
          <w:szCs w:val="24"/>
          <w:lang w:val="zh-CN"/>
        </w:rPr>
      </w:pPr>
    </w:p>
    <w:p w14:paraId="57731CAD">
      <w:pPr>
        <w:widowControl/>
        <w:jc w:val="left"/>
        <w:rPr>
          <w:rFonts w:ascii="宋体" w:hAnsi="宋体" w:eastAsia="宋体" w:cs="Times New Roman"/>
          <w:sz w:val="24"/>
          <w:szCs w:val="24"/>
          <w:lang w:val="zh-CN"/>
        </w:rPr>
      </w:pPr>
      <w:r>
        <w:rPr>
          <w:rFonts w:ascii="宋体" w:hAnsi="宋体" w:eastAsia="宋体" w:cs="Times New Roman"/>
          <w:sz w:val="24"/>
          <w:szCs w:val="24"/>
          <w:lang w:val="zh-CN"/>
        </w:rPr>
        <w:br w:type="page"/>
      </w:r>
    </w:p>
    <w:p w14:paraId="6DC91344">
      <w:pPr>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4</w:t>
      </w:r>
      <w:r>
        <w:rPr>
          <w:rFonts w:hint="eastAsia" w:ascii="宋体" w:hAnsi="宋体" w:eastAsia="宋体" w:cs="Times New Roman"/>
          <w:sz w:val="24"/>
          <w:szCs w:val="24"/>
        </w:rPr>
        <w:t>：</w:t>
      </w:r>
    </w:p>
    <w:p w14:paraId="77429861">
      <w:pPr>
        <w:keepNext/>
        <w:keepLines/>
        <w:spacing w:before="340" w:after="330" w:line="576" w:lineRule="auto"/>
        <w:outlineLvl w:val="0"/>
        <w:rPr>
          <w:rFonts w:ascii="宋体" w:hAnsi="宋体" w:eastAsia="宋体" w:cs="Times New Roman"/>
          <w:sz w:val="24"/>
          <w:szCs w:val="24"/>
        </w:rPr>
      </w:pPr>
      <w:r>
        <w:rPr>
          <w:rFonts w:hint="eastAsia" w:ascii="宋体" w:hAnsi="宋体" w:eastAsia="宋体" w:cs="Times New Roman"/>
          <w:sz w:val="24"/>
          <w:szCs w:val="24"/>
        </w:rPr>
        <w:t>供应商认为需要提交的其他材料（如无，可不填）</w:t>
      </w:r>
    </w:p>
    <w:p w14:paraId="6CABB96A">
      <w:pPr>
        <w:rPr>
          <w:rFonts w:ascii="Calibri" w:hAnsi="Calibri" w:eastAsia="宋体" w:cs="Times New Roman"/>
          <w:szCs w:val="24"/>
        </w:rPr>
      </w:pPr>
    </w:p>
    <w:p w14:paraId="1750D17C">
      <w:pPr>
        <w:widowControl/>
        <w:ind w:firstLine="420"/>
        <w:jc w:val="left"/>
        <w:rPr>
          <w:rFonts w:ascii="宋体" w:hAnsi="宋体" w:eastAsia="宋体" w:cs="Times New Roman"/>
          <w:sz w:val="24"/>
          <w:szCs w:val="24"/>
        </w:rPr>
      </w:pPr>
    </w:p>
    <w:p w14:paraId="7DAEA650">
      <w:pPr>
        <w:rPr>
          <w:rFonts w:ascii="Calibri" w:hAnsi="Calibri" w:eastAsia="宋体" w:cs="Times New Roman"/>
          <w:szCs w:val="24"/>
        </w:rPr>
      </w:pPr>
    </w:p>
    <w:p w14:paraId="374A45E8">
      <w:pPr>
        <w:widowControl/>
        <w:jc w:val="left"/>
        <w:rPr>
          <w:rFonts w:ascii="仿宋" w:hAnsi="仿宋" w:eastAsia="仿宋" w:cs="仿宋_GB2312"/>
          <w:b/>
          <w:color w:val="000000" w:themeColor="text1"/>
          <w:sz w:val="32"/>
          <w:szCs w:val="32"/>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93ADA"/>
    <w:rsid w:val="000964BC"/>
    <w:rsid w:val="000D4514"/>
    <w:rsid w:val="00105FC9"/>
    <w:rsid w:val="00117467"/>
    <w:rsid w:val="00126267"/>
    <w:rsid w:val="0013217B"/>
    <w:rsid w:val="00141F77"/>
    <w:rsid w:val="00144BF0"/>
    <w:rsid w:val="0015168D"/>
    <w:rsid w:val="0016430E"/>
    <w:rsid w:val="00190864"/>
    <w:rsid w:val="001E78A1"/>
    <w:rsid w:val="002502F0"/>
    <w:rsid w:val="002B1DFC"/>
    <w:rsid w:val="002E6217"/>
    <w:rsid w:val="00304A01"/>
    <w:rsid w:val="0032490D"/>
    <w:rsid w:val="003669FD"/>
    <w:rsid w:val="0039252E"/>
    <w:rsid w:val="003A66B7"/>
    <w:rsid w:val="003E04D3"/>
    <w:rsid w:val="003E0BE2"/>
    <w:rsid w:val="003F1027"/>
    <w:rsid w:val="004819A2"/>
    <w:rsid w:val="004A7D3B"/>
    <w:rsid w:val="004D712A"/>
    <w:rsid w:val="004E2848"/>
    <w:rsid w:val="004F6C0E"/>
    <w:rsid w:val="00606616"/>
    <w:rsid w:val="006446CB"/>
    <w:rsid w:val="006A7088"/>
    <w:rsid w:val="006B7012"/>
    <w:rsid w:val="00762481"/>
    <w:rsid w:val="007D759D"/>
    <w:rsid w:val="00837325"/>
    <w:rsid w:val="00882516"/>
    <w:rsid w:val="00885654"/>
    <w:rsid w:val="008A1D4B"/>
    <w:rsid w:val="008C3004"/>
    <w:rsid w:val="009125D7"/>
    <w:rsid w:val="009142AC"/>
    <w:rsid w:val="0092346F"/>
    <w:rsid w:val="00954A4F"/>
    <w:rsid w:val="00973D85"/>
    <w:rsid w:val="00991212"/>
    <w:rsid w:val="00A47E4B"/>
    <w:rsid w:val="00A73386"/>
    <w:rsid w:val="00A7416C"/>
    <w:rsid w:val="00A8154C"/>
    <w:rsid w:val="00AB7E58"/>
    <w:rsid w:val="00B53FC5"/>
    <w:rsid w:val="00B668A0"/>
    <w:rsid w:val="00BE2BD9"/>
    <w:rsid w:val="00C14D98"/>
    <w:rsid w:val="00C21ACA"/>
    <w:rsid w:val="00C236E3"/>
    <w:rsid w:val="00C26177"/>
    <w:rsid w:val="00C81E4C"/>
    <w:rsid w:val="00C85B2F"/>
    <w:rsid w:val="00CA13BC"/>
    <w:rsid w:val="00CB3161"/>
    <w:rsid w:val="00CF6EF7"/>
    <w:rsid w:val="00D26461"/>
    <w:rsid w:val="00D46C50"/>
    <w:rsid w:val="00D657F2"/>
    <w:rsid w:val="00D810E1"/>
    <w:rsid w:val="00DD128E"/>
    <w:rsid w:val="00DD1687"/>
    <w:rsid w:val="00DD523D"/>
    <w:rsid w:val="00E07F73"/>
    <w:rsid w:val="00E65825"/>
    <w:rsid w:val="00E83CA0"/>
    <w:rsid w:val="00EB4ED8"/>
    <w:rsid w:val="00EC1306"/>
    <w:rsid w:val="00F45B8E"/>
    <w:rsid w:val="00F80986"/>
    <w:rsid w:val="00F912E8"/>
    <w:rsid w:val="00FE0DAD"/>
    <w:rsid w:val="03E64575"/>
    <w:rsid w:val="071F2612"/>
    <w:rsid w:val="07D83FF0"/>
    <w:rsid w:val="09383E5F"/>
    <w:rsid w:val="0A5A370F"/>
    <w:rsid w:val="0ACC485F"/>
    <w:rsid w:val="0B3A5C6C"/>
    <w:rsid w:val="12137217"/>
    <w:rsid w:val="192E2469"/>
    <w:rsid w:val="19574A0C"/>
    <w:rsid w:val="1E7035EE"/>
    <w:rsid w:val="1F8D5DF2"/>
    <w:rsid w:val="20104D96"/>
    <w:rsid w:val="21C347B6"/>
    <w:rsid w:val="23E9602A"/>
    <w:rsid w:val="25F0406C"/>
    <w:rsid w:val="2C990ADF"/>
    <w:rsid w:val="2DBD655D"/>
    <w:rsid w:val="2ED97233"/>
    <w:rsid w:val="3A1B379B"/>
    <w:rsid w:val="41737F2B"/>
    <w:rsid w:val="426218AC"/>
    <w:rsid w:val="4A344E39"/>
    <w:rsid w:val="4B1A6945"/>
    <w:rsid w:val="4C885B30"/>
    <w:rsid w:val="4CC0208A"/>
    <w:rsid w:val="4D20220D"/>
    <w:rsid w:val="4D5A5A03"/>
    <w:rsid w:val="508F56DF"/>
    <w:rsid w:val="5A122ADF"/>
    <w:rsid w:val="5B5F3896"/>
    <w:rsid w:val="5C7B31F6"/>
    <w:rsid w:val="5F7F085B"/>
    <w:rsid w:val="60CF38D6"/>
    <w:rsid w:val="61677FB2"/>
    <w:rsid w:val="697673AA"/>
    <w:rsid w:val="6DC02C4A"/>
    <w:rsid w:val="722F0339"/>
    <w:rsid w:val="792132E9"/>
    <w:rsid w:val="7A0D69D2"/>
    <w:rsid w:val="7FE0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rFonts w:hint="eastAsia" w:ascii="Times New Roman" w:hAnsi="Times New Roman" w:eastAsia="宋体" w:cs="Times New Roman"/>
      <w:kern w:val="0"/>
      <w:sz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F6A0-70B2-4C23-9974-B007E12F63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4102</Words>
  <Characters>4250</Characters>
  <Lines>31</Lines>
  <Paragraphs>8</Paragraphs>
  <TotalTime>61</TotalTime>
  <ScaleCrop>false</ScaleCrop>
  <LinksUpToDate>false</LinksUpToDate>
  <CharactersWithSpaces>4337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2025-10-11T08:09:00Z</dcterms:created>
  <dc:creator>ndlib</dc:creator>
  <cp:lastModifiedBy>宁德市图书馆黄涛</cp:lastModifiedBy>
  <cp:lastPrinted>2026-06-26T09:05:00Z</cp:lastPrinted>
  <dcterms:modified xsi:type="dcterms:W3CDTF">2026-06-29T02:30:11Z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eyJoZGlkIjoiM2EyOGQ5YjkzNzE3ZGEyNjdmYzNmM2VkMzE5MTlhOTgifQ==</vt:lpwstr>
  </property>
  <property fmtid="{D5CDD505-2E9C-101B-9397-08002B2CF9AE}" pid="3" name="KSOProductBuildVer">
    <vt:lpwstr>2052-12.1.0.26895</vt:lpwstr>
  </property>
  <property fmtid="{D5CDD505-2E9C-101B-9397-08002B2CF9AE}" pid="4" name="ICV">
    <vt:lpwstr>0FA8E4B8AA9240D88C01996E0460724D_13</vt:lpwstr>
  </property>
</Properties>
</file>