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AD527">
      <w:pPr>
        <w:spacing w:line="640" w:lineRule="exact"/>
        <w:jc w:val="center"/>
        <w:rPr>
          <w:rFonts w:ascii="方正小标宋简体" w:hAnsi="楷体" w:eastAsia="方正小标宋简体"/>
          <w:color w:val="000000" w:themeColor="text1"/>
          <w:sz w:val="44"/>
          <w:szCs w:val="44"/>
          <w14:textFill>
            <w14:solidFill>
              <w14:schemeClr w14:val="tx1"/>
            </w14:solidFill>
          </w14:textFill>
        </w:rPr>
      </w:pPr>
      <w:bookmarkStart w:id="0" w:name="_GoBack"/>
      <w:bookmarkEnd w:id="0"/>
      <w:r>
        <w:rPr>
          <w:rFonts w:hint="eastAsia" w:ascii="方正小标宋简体" w:hAnsi="楷体" w:eastAsia="方正小标宋简体"/>
          <w:color w:val="000000" w:themeColor="text1"/>
          <w:sz w:val="44"/>
          <w:szCs w:val="44"/>
          <w14:textFill>
            <w14:solidFill>
              <w14:schemeClr w14:val="tx1"/>
            </w14:solidFill>
          </w14:textFill>
        </w:rPr>
        <w:t>宁德市图书馆关于开展202</w:t>
      </w:r>
      <w:r>
        <w:rPr>
          <w:rFonts w:ascii="方正小标宋简体" w:hAnsi="楷体" w:eastAsia="方正小标宋简体"/>
          <w:color w:val="000000" w:themeColor="text1"/>
          <w:sz w:val="44"/>
          <w:szCs w:val="44"/>
          <w14:textFill>
            <w14:solidFill>
              <w14:schemeClr w14:val="tx1"/>
            </w14:solidFill>
          </w14:textFill>
        </w:rPr>
        <w:t>6</w:t>
      </w:r>
      <w:r>
        <w:rPr>
          <w:rFonts w:hint="eastAsia" w:ascii="方正小标宋简体" w:hAnsi="楷体" w:eastAsia="方正小标宋简体"/>
          <w:color w:val="000000" w:themeColor="text1"/>
          <w:sz w:val="44"/>
          <w:szCs w:val="44"/>
          <w14:textFill>
            <w14:solidFill>
              <w14:schemeClr w14:val="tx1"/>
            </w14:solidFill>
          </w14:textFill>
        </w:rPr>
        <w:t>年线上</w:t>
      </w:r>
    </w:p>
    <w:p w14:paraId="1E8B3CAA">
      <w:pPr>
        <w:spacing w:line="640" w:lineRule="exact"/>
        <w:jc w:val="center"/>
        <w:rPr>
          <w:rFonts w:ascii="方正小标宋简体" w:hAnsi="楷体" w:eastAsia="方正小标宋简体"/>
          <w:color w:val="000000" w:themeColor="text1"/>
          <w:sz w:val="44"/>
          <w:szCs w:val="44"/>
          <w14:textFill>
            <w14:solidFill>
              <w14:schemeClr w14:val="tx1"/>
            </w14:solidFill>
          </w14:textFill>
        </w:rPr>
      </w:pPr>
      <w:r>
        <w:rPr>
          <w:rFonts w:hint="eastAsia" w:ascii="方正小标宋简体" w:hAnsi="楷体" w:eastAsia="方正小标宋简体"/>
          <w:color w:val="000000" w:themeColor="text1"/>
          <w:sz w:val="44"/>
          <w:szCs w:val="44"/>
          <w14:textFill>
            <w14:solidFill>
              <w14:schemeClr w14:val="tx1"/>
            </w14:solidFill>
          </w14:textFill>
        </w:rPr>
        <w:t>展览活动采购项目公告</w:t>
      </w:r>
    </w:p>
    <w:p w14:paraId="5EA30153">
      <w:pPr>
        <w:rPr>
          <w:color w:val="000000" w:themeColor="text1"/>
          <w14:textFill>
            <w14:solidFill>
              <w14:schemeClr w14:val="tx1"/>
            </w14:solidFill>
          </w14:textFill>
        </w:rPr>
      </w:pPr>
    </w:p>
    <w:p w14:paraId="1150B76A">
      <w:pPr>
        <w:adjustRightInd w:val="0"/>
        <w:snapToGrid w:val="0"/>
        <w:spacing w:before="100" w:beforeAutospacing="1" w:after="100" w:afterAutospacing="1"/>
        <w:ind w:firstLine="640" w:firstLineChars="200"/>
        <w:contextualSpacing/>
        <w:rPr>
          <w:rFonts w:ascii="仿宋" w:hAnsi="仿宋" w:eastAsia="仿宋" w:cs="仿宋_GB2312"/>
          <w:color w:val="000000" w:themeColor="text1"/>
          <w:sz w:val="32"/>
          <w:szCs w:val="32"/>
          <w:shd w:val="clear" w:color="auto" w:fill="FFFFFF"/>
          <w14:textFill>
            <w14:solidFill>
              <w14:schemeClr w14:val="tx1"/>
            </w14:solidFill>
          </w14:textFill>
        </w:rPr>
      </w:pPr>
      <w:r>
        <w:rPr>
          <w:rFonts w:hint="eastAsia" w:ascii="仿宋" w:hAnsi="仿宋" w:eastAsia="仿宋" w:cs="仿宋_GB2312"/>
          <w:color w:val="000000" w:themeColor="text1"/>
          <w:sz w:val="32"/>
          <w:szCs w:val="32"/>
          <w:shd w:val="clear" w:color="auto" w:fill="FFFFFF"/>
          <w14:textFill>
            <w14:solidFill>
              <w14:schemeClr w14:val="tx1"/>
            </w14:solidFill>
          </w14:textFill>
        </w:rPr>
        <w:t>为深入推进全民阅读工作，创新图书馆阅读推广服务模式，丰富线上文化服务内容，提升读者参与度、馆藏资源利用率及图书馆公共文化服务影响力，宁德市图书馆拟委托第三方开展202</w:t>
      </w:r>
      <w:r>
        <w:rPr>
          <w:rFonts w:ascii="仿宋" w:hAnsi="仿宋" w:eastAsia="仿宋" w:cs="仿宋_GB2312"/>
          <w:color w:val="000000" w:themeColor="text1"/>
          <w:sz w:val="32"/>
          <w:szCs w:val="32"/>
          <w:shd w:val="clear" w:color="auto" w:fill="FFFFFF"/>
          <w14:textFill>
            <w14:solidFill>
              <w14:schemeClr w14:val="tx1"/>
            </w14:solidFill>
          </w14:textFill>
        </w:rPr>
        <w:t>6</w:t>
      </w:r>
      <w:r>
        <w:rPr>
          <w:rFonts w:hint="eastAsia" w:ascii="仿宋" w:hAnsi="仿宋" w:eastAsia="仿宋" w:cs="仿宋_GB2312"/>
          <w:color w:val="000000" w:themeColor="text1"/>
          <w:sz w:val="32"/>
          <w:szCs w:val="32"/>
          <w:shd w:val="clear" w:color="auto" w:fill="FFFFFF"/>
          <w14:textFill>
            <w14:solidFill>
              <w14:schemeClr w14:val="tx1"/>
            </w14:solidFill>
          </w14:textFill>
        </w:rPr>
        <w:t>年度线上展览活动项目。</w:t>
      </w:r>
    </w:p>
    <w:p w14:paraId="1DA55E90">
      <w:pPr>
        <w:adjustRightInd w:val="0"/>
        <w:snapToGrid w:val="0"/>
        <w:spacing w:before="100" w:beforeAutospacing="1" w:after="100" w:afterAutospacing="1"/>
        <w:ind w:firstLine="640" w:firstLineChars="200"/>
        <w:contextualSpacing/>
        <w:rPr>
          <w:rFonts w:ascii="仿宋" w:hAnsi="仿宋" w:eastAsia="仿宋" w:cs="仿宋_GB2312"/>
          <w:color w:val="000000" w:themeColor="text1"/>
          <w:sz w:val="32"/>
          <w:szCs w:val="32"/>
          <w:shd w:val="clear" w:color="auto" w:fill="FFFFFF"/>
          <w14:textFill>
            <w14:solidFill>
              <w14:schemeClr w14:val="tx1"/>
            </w14:solidFill>
          </w14:textFill>
        </w:rPr>
      </w:pPr>
      <w:r>
        <w:rPr>
          <w:rFonts w:hint="eastAsia" w:ascii="仿宋" w:hAnsi="仿宋" w:eastAsia="仿宋" w:cs="仿宋_GB2312"/>
          <w:color w:val="000000" w:themeColor="text1"/>
          <w:sz w:val="32"/>
          <w:szCs w:val="32"/>
          <w:shd w:val="clear" w:color="auto" w:fill="FFFFFF"/>
          <w14:textFill>
            <w14:solidFill>
              <w14:schemeClr w14:val="tx1"/>
            </w14:solidFill>
          </w14:textFill>
        </w:rPr>
        <w:t>本项目通过采购专业第三方服务，常态化开展各类线上阅读推广主题活动，打造数字化阅读服务阵地。服务周期2026年内，需完成不少于44场高品质线上展览活动，持续丰富图书馆线上文化服务阵地，提升公共文化服务数字化、常态化、精品化水平。</w:t>
      </w:r>
    </w:p>
    <w:p w14:paraId="2E76B681">
      <w:pPr>
        <w:adjustRightInd w:val="0"/>
        <w:snapToGrid w:val="0"/>
        <w:ind w:firstLine="640" w:firstLineChars="200"/>
        <w:contextualSpacing/>
        <w:rPr>
          <w:rFonts w:ascii="仿宋" w:hAnsi="仿宋" w:eastAsia="仿宋" w:cs="仿宋_GB2312"/>
          <w:color w:val="000000" w:themeColor="text1"/>
          <w:sz w:val="32"/>
          <w:szCs w:val="32"/>
          <w:shd w:val="clear" w:color="auto" w:fill="FFFFFF"/>
          <w14:textFill>
            <w14:solidFill>
              <w14:schemeClr w14:val="tx1"/>
            </w14:solidFill>
          </w14:textFill>
        </w:rPr>
      </w:pPr>
      <w:r>
        <w:rPr>
          <w:rFonts w:hint="eastAsia" w:ascii="仿宋" w:hAnsi="仿宋" w:eastAsia="仿宋" w:cs="仿宋_GB2312"/>
          <w:color w:val="000000" w:themeColor="text1"/>
          <w:sz w:val="32"/>
          <w:szCs w:val="32"/>
          <w:shd w:val="clear" w:color="auto" w:fill="FFFFFF"/>
          <w14:textFill>
            <w14:solidFill>
              <w14:schemeClr w14:val="tx1"/>
            </w14:solidFill>
          </w14:textFill>
        </w:rPr>
        <w:t>宁德市图书馆现向社会公开征集202</w:t>
      </w:r>
      <w:r>
        <w:rPr>
          <w:rFonts w:ascii="仿宋" w:hAnsi="仿宋" w:eastAsia="仿宋" w:cs="仿宋_GB2312"/>
          <w:color w:val="000000" w:themeColor="text1"/>
          <w:sz w:val="32"/>
          <w:szCs w:val="32"/>
          <w:shd w:val="clear" w:color="auto" w:fill="FFFFFF"/>
          <w14:textFill>
            <w14:solidFill>
              <w14:schemeClr w14:val="tx1"/>
            </w14:solidFill>
          </w14:textFill>
        </w:rPr>
        <w:t>6</w:t>
      </w:r>
      <w:r>
        <w:rPr>
          <w:rFonts w:hint="eastAsia" w:ascii="仿宋" w:hAnsi="仿宋" w:eastAsia="仿宋" w:cs="仿宋_GB2312"/>
          <w:color w:val="000000" w:themeColor="text1"/>
          <w:sz w:val="32"/>
          <w:szCs w:val="32"/>
          <w:shd w:val="clear" w:color="auto" w:fill="FFFFFF"/>
          <w14:textFill>
            <w14:solidFill>
              <w14:schemeClr w14:val="tx1"/>
            </w14:solidFill>
          </w14:textFill>
        </w:rPr>
        <w:t>年线上展览活动项目供应商，本项目通过比选的方式确定一家服务优质高效的供应商，欢迎符合要求的公司参加本次比选。现将有关事项公告如下：</w:t>
      </w:r>
    </w:p>
    <w:p w14:paraId="1B44352D">
      <w:pPr>
        <w:pStyle w:val="5"/>
        <w:shd w:val="clear" w:color="auto" w:fill="FFFFFF"/>
        <w:adjustRightInd w:val="0"/>
        <w:snapToGrid w:val="0"/>
        <w:spacing w:before="0" w:beforeAutospacing="0" w:after="0" w:afterAutospacing="0"/>
        <w:ind w:firstLine="643" w:firstLineChars="200"/>
        <w:contextualSpacing/>
        <w:jc w:val="both"/>
        <w:rPr>
          <w:rFonts w:ascii="仿宋" w:hAnsi="仿宋" w:eastAsia="仿宋" w:cs="仿宋_GB2312"/>
          <w:color w:val="000000" w:themeColor="text1"/>
          <w:sz w:val="32"/>
          <w:szCs w:val="32"/>
          <w14:textFill>
            <w14:solidFill>
              <w14:schemeClr w14:val="tx1"/>
            </w14:solidFill>
          </w14:textFill>
        </w:rPr>
      </w:pPr>
      <w:r>
        <w:rPr>
          <w:rStyle w:val="9"/>
          <w:rFonts w:hint="eastAsia" w:ascii="仿宋" w:hAnsi="仿宋" w:eastAsia="仿宋" w:cs="仿宋_GB2312"/>
          <w:color w:val="000000" w:themeColor="text1"/>
          <w:sz w:val="32"/>
          <w:szCs w:val="32"/>
          <w14:textFill>
            <w14:solidFill>
              <w14:schemeClr w14:val="tx1"/>
            </w14:solidFill>
          </w14:textFill>
        </w:rPr>
        <w:t>一、本项目采购内容及预算</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410"/>
        <w:gridCol w:w="1418"/>
        <w:gridCol w:w="2205"/>
      </w:tblGrid>
      <w:tr w14:paraId="4CD51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22B8CFAC">
            <w:pPr>
              <w:pStyle w:val="5"/>
              <w:adjustRightInd w:val="0"/>
              <w:snapToGrid w:val="0"/>
              <w:contextualSpacing/>
              <w:jc w:val="center"/>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采购内容</w:t>
            </w:r>
          </w:p>
        </w:tc>
        <w:tc>
          <w:tcPr>
            <w:tcW w:w="2410" w:type="dxa"/>
            <w:vAlign w:val="center"/>
          </w:tcPr>
          <w:p w14:paraId="2703C889">
            <w:pPr>
              <w:pStyle w:val="5"/>
              <w:adjustRightInd w:val="0"/>
              <w:snapToGrid w:val="0"/>
              <w:contextualSpacing/>
              <w:jc w:val="center"/>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预算金额（人民币）</w:t>
            </w:r>
          </w:p>
        </w:tc>
        <w:tc>
          <w:tcPr>
            <w:tcW w:w="1418" w:type="dxa"/>
            <w:vAlign w:val="center"/>
          </w:tcPr>
          <w:p w14:paraId="5730FB72">
            <w:pPr>
              <w:pStyle w:val="5"/>
              <w:adjustRightInd w:val="0"/>
              <w:snapToGrid w:val="0"/>
              <w:contextualSpacing/>
              <w:jc w:val="center"/>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中标人数量</w:t>
            </w:r>
          </w:p>
        </w:tc>
        <w:tc>
          <w:tcPr>
            <w:tcW w:w="2205" w:type="dxa"/>
            <w:vAlign w:val="center"/>
          </w:tcPr>
          <w:p w14:paraId="0D2B2FCA">
            <w:pPr>
              <w:pStyle w:val="5"/>
              <w:adjustRightInd w:val="0"/>
              <w:snapToGrid w:val="0"/>
              <w:contextualSpacing/>
              <w:jc w:val="center"/>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服务期</w:t>
            </w:r>
          </w:p>
        </w:tc>
      </w:tr>
      <w:tr w14:paraId="025A7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6825101A">
            <w:pPr>
              <w:pStyle w:val="5"/>
              <w:adjustRightInd w:val="0"/>
              <w:snapToGrid w:val="0"/>
              <w:contextualSpacing/>
              <w:jc w:val="center"/>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2</w:t>
            </w:r>
            <w:r>
              <w:rPr>
                <w:rFonts w:ascii="仿宋" w:hAnsi="仿宋" w:eastAsia="仿宋" w:cs="仿宋_GB2312"/>
                <w:color w:val="000000" w:themeColor="text1"/>
                <w:sz w:val="32"/>
                <w:szCs w:val="32"/>
                <w14:textFill>
                  <w14:solidFill>
                    <w14:schemeClr w14:val="tx1"/>
                  </w14:solidFill>
                </w14:textFill>
              </w:rPr>
              <w:t>026</w:t>
            </w:r>
            <w:r>
              <w:rPr>
                <w:rFonts w:hint="eastAsia" w:ascii="仿宋" w:hAnsi="仿宋" w:eastAsia="仿宋" w:cs="仿宋_GB2312"/>
                <w:color w:val="000000" w:themeColor="text1"/>
                <w:sz w:val="32"/>
                <w:szCs w:val="32"/>
                <w14:textFill>
                  <w14:solidFill>
                    <w14:schemeClr w14:val="tx1"/>
                  </w14:solidFill>
                </w14:textFill>
              </w:rPr>
              <w:t>年度线上</w:t>
            </w:r>
          </w:p>
          <w:p w14:paraId="25E11553">
            <w:pPr>
              <w:pStyle w:val="5"/>
              <w:adjustRightInd w:val="0"/>
              <w:snapToGrid w:val="0"/>
              <w:contextualSpacing/>
              <w:jc w:val="center"/>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展览活动</w:t>
            </w:r>
          </w:p>
        </w:tc>
        <w:tc>
          <w:tcPr>
            <w:tcW w:w="2410" w:type="dxa"/>
            <w:vAlign w:val="center"/>
          </w:tcPr>
          <w:p w14:paraId="2BA04AC5">
            <w:pPr>
              <w:pStyle w:val="5"/>
              <w:adjustRightInd w:val="0"/>
              <w:snapToGrid w:val="0"/>
              <w:contextualSpacing/>
              <w:jc w:val="center"/>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w:t>
            </w:r>
            <w:r>
              <w:rPr>
                <w:rFonts w:ascii="仿宋" w:hAnsi="仿宋" w:eastAsia="仿宋" w:cs="仿宋_GB2312"/>
                <w:color w:val="000000" w:themeColor="text1"/>
                <w:sz w:val="32"/>
                <w:szCs w:val="32"/>
                <w14:textFill>
                  <w14:solidFill>
                    <w14:schemeClr w14:val="tx1"/>
                  </w14:solidFill>
                </w14:textFill>
              </w:rPr>
              <w:t>30</w:t>
            </w:r>
            <w:r>
              <w:rPr>
                <w:rFonts w:hint="eastAsia" w:ascii="仿宋" w:hAnsi="仿宋" w:eastAsia="仿宋" w:cs="仿宋_GB2312"/>
                <w:color w:val="000000" w:themeColor="text1"/>
                <w:sz w:val="32"/>
                <w:szCs w:val="32"/>
                <w14:textFill>
                  <w14:solidFill>
                    <w14:schemeClr w14:val="tx1"/>
                  </w14:solidFill>
                </w14:textFill>
              </w:rPr>
              <w:t>000.00</w:t>
            </w:r>
          </w:p>
          <w:p w14:paraId="46FBEA51">
            <w:pPr>
              <w:pStyle w:val="5"/>
              <w:adjustRightInd w:val="0"/>
              <w:snapToGrid w:val="0"/>
              <w:contextualSpacing/>
              <w:jc w:val="center"/>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以内</w:t>
            </w:r>
          </w:p>
        </w:tc>
        <w:tc>
          <w:tcPr>
            <w:tcW w:w="1418" w:type="dxa"/>
            <w:vAlign w:val="center"/>
          </w:tcPr>
          <w:p w14:paraId="4959051C">
            <w:pPr>
              <w:pStyle w:val="5"/>
              <w:adjustRightInd w:val="0"/>
              <w:snapToGrid w:val="0"/>
              <w:contextualSpacing/>
              <w:jc w:val="center"/>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1家</w:t>
            </w:r>
          </w:p>
        </w:tc>
        <w:tc>
          <w:tcPr>
            <w:tcW w:w="2205" w:type="dxa"/>
            <w:vAlign w:val="center"/>
          </w:tcPr>
          <w:p w14:paraId="5C06A5BD">
            <w:pPr>
              <w:pStyle w:val="5"/>
              <w:adjustRightInd w:val="0"/>
              <w:snapToGrid w:val="0"/>
              <w:contextualSpacing/>
              <w:jc w:val="center"/>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以采购人通知</w:t>
            </w:r>
          </w:p>
          <w:p w14:paraId="7725DB49">
            <w:pPr>
              <w:pStyle w:val="5"/>
              <w:adjustRightInd w:val="0"/>
              <w:snapToGrid w:val="0"/>
              <w:contextualSpacing/>
              <w:jc w:val="center"/>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为准</w:t>
            </w:r>
          </w:p>
        </w:tc>
      </w:tr>
    </w:tbl>
    <w:p w14:paraId="62A3C7D1">
      <w:pPr>
        <w:pStyle w:val="5"/>
        <w:shd w:val="clear" w:color="auto" w:fill="FFFFFF"/>
        <w:adjustRightInd w:val="0"/>
        <w:snapToGrid w:val="0"/>
        <w:spacing w:before="0" w:beforeAutospacing="0" w:after="0" w:afterAutospacing="0"/>
        <w:ind w:firstLine="643"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Style w:val="9"/>
          <w:rFonts w:hint="eastAsia" w:ascii="仿宋" w:hAnsi="仿宋" w:eastAsia="仿宋" w:cs="仿宋_GB2312"/>
          <w:color w:val="000000" w:themeColor="text1"/>
          <w:sz w:val="32"/>
          <w:szCs w:val="32"/>
          <w14:textFill>
            <w14:solidFill>
              <w14:schemeClr w14:val="tx1"/>
            </w14:solidFill>
          </w14:textFill>
        </w:rPr>
        <w:t>二</w:t>
      </w:r>
      <w:r>
        <w:rPr>
          <w:rFonts w:hint="eastAsia" w:ascii="仿宋" w:hAnsi="仿宋" w:eastAsia="仿宋" w:cs="仿宋_GB2312"/>
          <w:b/>
          <w:bCs/>
          <w:color w:val="000000" w:themeColor="text1"/>
          <w:kern w:val="2"/>
          <w:sz w:val="32"/>
          <w:szCs w:val="32"/>
          <w:shd w:val="clear" w:color="auto" w:fill="FFFFFF"/>
          <w14:textFill>
            <w14:solidFill>
              <w14:schemeClr w14:val="tx1"/>
            </w14:solidFill>
          </w14:textFill>
        </w:rPr>
        <w:t>、总体要求</w:t>
      </w:r>
    </w:p>
    <w:p w14:paraId="40358FDE">
      <w:pPr>
        <w:pStyle w:val="5"/>
        <w:shd w:val="clear" w:color="auto" w:fill="FFFFFF"/>
        <w:adjustRightInd w:val="0"/>
        <w:snapToGrid w:val="0"/>
        <w:spacing w:before="0" w:beforeAutospacing="0" w:after="0" w:afterAutospacing="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（一）供应商应对所有的采购内容进行报价，不允许只对部分内容进行报价。</w:t>
      </w:r>
    </w:p>
    <w:p w14:paraId="61DD1A8D">
      <w:pPr>
        <w:pStyle w:val="5"/>
        <w:shd w:val="clear" w:color="auto" w:fill="FFFFFF"/>
        <w:adjustRightInd w:val="0"/>
        <w:snapToGrid w:val="0"/>
        <w:spacing w:before="0" w:beforeAutospacing="0" w:after="0" w:afterAutospacing="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（二）供应商在满足用户需求各项要求的基础之上，可提供附设的优惠条件。</w:t>
      </w:r>
    </w:p>
    <w:p w14:paraId="32EDFC3D">
      <w:pPr>
        <w:pStyle w:val="5"/>
        <w:shd w:val="clear" w:color="auto" w:fill="FFFFFF"/>
        <w:adjustRightInd w:val="0"/>
        <w:snapToGrid w:val="0"/>
        <w:spacing w:before="0" w:beforeAutospacing="0" w:after="0" w:afterAutospacing="0"/>
        <w:ind w:firstLine="643" w:firstLineChars="200"/>
        <w:contextualSpacing/>
        <w:jc w:val="both"/>
        <w:rPr>
          <w:rFonts w:ascii="仿宋" w:hAnsi="仿宋" w:eastAsia="仿宋" w:cs="仿宋_GB2312"/>
          <w:b/>
          <w:bCs/>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b/>
          <w:bCs/>
          <w:color w:val="000000" w:themeColor="text1"/>
          <w:kern w:val="2"/>
          <w:sz w:val="32"/>
          <w:szCs w:val="32"/>
          <w:shd w:val="clear" w:color="auto" w:fill="FFFFFF"/>
          <w14:textFill>
            <w14:solidFill>
              <w14:schemeClr w14:val="tx1"/>
            </w14:solidFill>
          </w14:textFill>
        </w:rPr>
        <w:t>三、总体技术与服务要求</w:t>
      </w:r>
    </w:p>
    <w:p w14:paraId="6EF27E62">
      <w:pPr>
        <w:pStyle w:val="5"/>
        <w:shd w:val="clear" w:color="auto" w:fill="FFFFFF"/>
        <w:adjustRightInd w:val="0"/>
        <w:snapToGrid w:val="0"/>
        <w:spacing w:before="0" w:beforeAutospacing="0" w:after="0" w:afterAutospacing="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供应商需具备完整的线上阅读活动全流程落地服务能力，涵盖活动主题策划、方案撰写、页面视觉设计、程序功能搭建、线上运维、数据统计、活动复盘、素材归档等一体化服务。所有活动需适配图书馆公益服务属性，功能稳定、操作便捷、内容合规无版权风险，支持多终端参与、广泛传播，可适配图书馆官方新媒体及官网平台，满足常态化阅读推广运营需求。</w:t>
      </w:r>
    </w:p>
    <w:p w14:paraId="67E767B7">
      <w:pPr>
        <w:pStyle w:val="5"/>
        <w:shd w:val="clear" w:color="auto" w:fill="FFFFFF"/>
        <w:adjustRightInd w:val="0"/>
        <w:snapToGrid w:val="0"/>
        <w:spacing w:before="0" w:beforeAutospacing="0" w:after="0" w:afterAutospacing="0"/>
        <w:ind w:firstLine="643" w:firstLineChars="200"/>
        <w:contextualSpacing/>
        <w:jc w:val="both"/>
        <w:rPr>
          <w:rFonts w:ascii="仿宋" w:hAnsi="仿宋" w:eastAsia="仿宋" w:cs="仿宋_GB2312"/>
          <w:b/>
          <w:bCs/>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b/>
          <w:bCs/>
          <w:color w:val="000000" w:themeColor="text1"/>
          <w:kern w:val="2"/>
          <w:sz w:val="32"/>
          <w:szCs w:val="32"/>
          <w:shd w:val="clear" w:color="auto" w:fill="FFFFFF"/>
          <w14:textFill>
            <w14:solidFill>
              <w14:schemeClr w14:val="tx1"/>
            </w14:solidFill>
          </w14:textFill>
        </w:rPr>
        <w:t>四、具体服务技术参数标准</w:t>
      </w:r>
    </w:p>
    <w:p w14:paraId="3382C9E6">
      <w:pPr>
        <w:pStyle w:val="5"/>
        <w:shd w:val="clear" w:color="auto" w:fill="FFFFFF"/>
        <w:adjustRightInd w:val="0"/>
        <w:snapToGrid w:val="0"/>
        <w:spacing w:before="0" w:beforeAutospacing="0" w:after="0" w:afterAutospacing="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（一）活动场次与排期要求</w:t>
      </w:r>
    </w:p>
    <w:p w14:paraId="3B883E0B">
      <w:pPr>
        <w:pStyle w:val="5"/>
        <w:shd w:val="clear" w:color="auto" w:fill="FFFFFF"/>
        <w:adjustRightInd w:val="0"/>
        <w:snapToGrid w:val="0"/>
        <w:spacing w:before="0" w:beforeAutospacing="0" w:after="0" w:afterAutospacing="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合同服务期内，累计完成不少于44场线上展览活动。实行常态化均衡运营机制，结合传统节日、寒暑假、重大宣传节点均衡排期开展，无集中凑数、无空档停更，可根据图书馆临时工作安排、专项线上展览任务灵活调整、加急落地，保障全年活动常态化、持续化开展。</w:t>
      </w:r>
    </w:p>
    <w:p w14:paraId="74C0FC64">
      <w:pPr>
        <w:pStyle w:val="5"/>
        <w:shd w:val="clear" w:color="auto" w:fill="FFFFFF"/>
        <w:adjustRightInd w:val="0"/>
        <w:snapToGrid w:val="0"/>
        <w:spacing w:before="0" w:beforeAutospacing="0" w:after="0" w:afterAutospacing="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（二）活动类型与内容范围</w:t>
      </w:r>
    </w:p>
    <w:p w14:paraId="7494BE5E">
      <w:pPr>
        <w:pStyle w:val="5"/>
        <w:shd w:val="clear" w:color="auto" w:fill="FFFFFF"/>
        <w:adjustRightInd w:val="0"/>
        <w:snapToGrid w:val="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供应商需结合图书馆馆藏特色、公共文化服务职能及年度宣传重点，自主策划+按需定制展览主题，展览主题不与宁德市图书馆往期线上展览主题重复，内容包含但不限于以下类别：</w:t>
      </w:r>
    </w:p>
    <w:p w14:paraId="09581E27">
      <w:pPr>
        <w:pStyle w:val="5"/>
        <w:shd w:val="clear" w:color="auto" w:fill="FFFFFF"/>
        <w:adjustRightInd w:val="0"/>
        <w:snapToGrid w:val="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1.馆藏资源类：馆藏特色文献、珍贵古籍、新书推荐、专题馆藏推介展览</w:t>
      </w:r>
    </w:p>
    <w:p w14:paraId="14897757">
      <w:pPr>
        <w:pStyle w:val="5"/>
        <w:shd w:val="clear" w:color="auto" w:fill="FFFFFF"/>
        <w:adjustRightInd w:val="0"/>
        <w:snapToGrid w:val="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2</w:t>
      </w:r>
      <w:r>
        <w:rPr>
          <w:rFonts w:ascii="仿宋" w:hAnsi="仿宋" w:eastAsia="仿宋" w:cs="仿宋_GB2312"/>
          <w:color w:val="000000" w:themeColor="text1"/>
          <w:kern w:val="2"/>
          <w:sz w:val="32"/>
          <w:szCs w:val="32"/>
          <w:shd w:val="clear" w:color="auto" w:fill="FFFFFF"/>
          <w14:textFill>
            <w14:solidFill>
              <w14:schemeClr w14:val="tx1"/>
            </w14:solidFill>
          </w14:textFill>
        </w:rPr>
        <w:t>.</w:t>
      </w: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全民阅读类：全民阅读推广主题展览</w:t>
      </w:r>
    </w:p>
    <w:p w14:paraId="78B40EC8">
      <w:pPr>
        <w:pStyle w:val="5"/>
        <w:shd w:val="clear" w:color="auto" w:fill="FFFFFF"/>
        <w:adjustRightInd w:val="0"/>
        <w:snapToGrid w:val="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3</w:t>
      </w:r>
      <w:r>
        <w:rPr>
          <w:rFonts w:ascii="仿宋" w:hAnsi="仿宋" w:eastAsia="仿宋" w:cs="仿宋_GB2312"/>
          <w:color w:val="000000" w:themeColor="text1"/>
          <w:kern w:val="2"/>
          <w:sz w:val="32"/>
          <w:szCs w:val="32"/>
          <w:shd w:val="clear" w:color="auto" w:fill="FFFFFF"/>
          <w14:textFill>
            <w14:solidFill>
              <w14:schemeClr w14:val="tx1"/>
            </w14:solidFill>
          </w14:textFill>
        </w:rPr>
        <w:t>.</w:t>
      </w: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传统文化类：中华优秀传统文化、二十四节气、传统节日、国学经典展览</w:t>
      </w:r>
    </w:p>
    <w:p w14:paraId="2EA8081E">
      <w:pPr>
        <w:pStyle w:val="5"/>
        <w:shd w:val="clear" w:color="auto" w:fill="FFFFFF"/>
        <w:adjustRightInd w:val="0"/>
        <w:snapToGrid w:val="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4</w:t>
      </w:r>
      <w:r>
        <w:rPr>
          <w:rFonts w:ascii="仿宋" w:hAnsi="仿宋" w:eastAsia="仿宋" w:cs="仿宋_GB2312"/>
          <w:color w:val="000000" w:themeColor="text1"/>
          <w:kern w:val="2"/>
          <w:sz w:val="32"/>
          <w:szCs w:val="32"/>
          <w:shd w:val="clear" w:color="auto" w:fill="FFFFFF"/>
          <w14:textFill>
            <w14:solidFill>
              <w14:schemeClr w14:val="tx1"/>
            </w14:solidFill>
          </w14:textFill>
        </w:rPr>
        <w:t>.</w:t>
      </w: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思政教育类：红色文化、爱国主义教育、廉政文化、新时代文明实践主题展览</w:t>
      </w:r>
    </w:p>
    <w:p w14:paraId="7F4C2B4E">
      <w:pPr>
        <w:pStyle w:val="5"/>
        <w:shd w:val="clear" w:color="auto" w:fill="FFFFFF"/>
        <w:adjustRightInd w:val="0"/>
        <w:snapToGrid w:val="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5</w:t>
      </w:r>
      <w:r>
        <w:rPr>
          <w:rFonts w:ascii="仿宋" w:hAnsi="仿宋" w:eastAsia="仿宋" w:cs="仿宋_GB2312"/>
          <w:color w:val="000000" w:themeColor="text1"/>
          <w:kern w:val="2"/>
          <w:sz w:val="32"/>
          <w:szCs w:val="32"/>
          <w:shd w:val="clear" w:color="auto" w:fill="FFFFFF"/>
          <w14:textFill>
            <w14:solidFill>
              <w14:schemeClr w14:val="tx1"/>
            </w14:solidFill>
          </w14:textFill>
        </w:rPr>
        <w:t>.</w:t>
      </w: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科普素养类：科学知识、安全普法、心理健康、人文素养提升专题展览</w:t>
      </w:r>
    </w:p>
    <w:p w14:paraId="28264952">
      <w:pPr>
        <w:pStyle w:val="5"/>
        <w:shd w:val="clear" w:color="auto" w:fill="FFFFFF"/>
        <w:adjustRightInd w:val="0"/>
        <w:snapToGrid w:val="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6</w:t>
      </w:r>
      <w:r>
        <w:rPr>
          <w:rFonts w:ascii="仿宋" w:hAnsi="仿宋" w:eastAsia="仿宋" w:cs="仿宋_GB2312"/>
          <w:color w:val="000000" w:themeColor="text1"/>
          <w:kern w:val="2"/>
          <w:sz w:val="32"/>
          <w:szCs w:val="32"/>
          <w:shd w:val="clear" w:color="auto" w:fill="FFFFFF"/>
          <w14:textFill>
            <w14:solidFill>
              <w14:schemeClr w14:val="tx1"/>
            </w14:solidFill>
          </w14:textFill>
        </w:rPr>
        <w:t>.</w:t>
      </w: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地域文化类：地方人文、非遗文化、本土名人、地域特色文化展览</w:t>
      </w:r>
    </w:p>
    <w:p w14:paraId="02109878">
      <w:pPr>
        <w:pStyle w:val="5"/>
        <w:shd w:val="clear" w:color="auto" w:fill="FFFFFF"/>
        <w:adjustRightInd w:val="0"/>
        <w:snapToGrid w:val="0"/>
        <w:spacing w:before="0" w:beforeAutospacing="0" w:after="0" w:afterAutospacing="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7</w:t>
      </w:r>
      <w:r>
        <w:rPr>
          <w:rFonts w:ascii="仿宋" w:hAnsi="仿宋" w:eastAsia="仿宋" w:cs="仿宋_GB2312"/>
          <w:color w:val="000000" w:themeColor="text1"/>
          <w:kern w:val="2"/>
          <w:sz w:val="32"/>
          <w:szCs w:val="32"/>
          <w:shd w:val="clear" w:color="auto" w:fill="FFFFFF"/>
          <w14:textFill>
            <w14:solidFill>
              <w14:schemeClr w14:val="tx1"/>
            </w14:solidFill>
          </w14:textFill>
        </w:rPr>
        <w:t>.</w:t>
      </w: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专项定制类：配合图书馆临时活动、专项工作、特色品牌活动定制主题展览</w:t>
      </w:r>
    </w:p>
    <w:p w14:paraId="044B4D1B">
      <w:pPr>
        <w:pStyle w:val="5"/>
        <w:shd w:val="clear" w:color="auto" w:fill="FFFFFF"/>
        <w:adjustRightInd w:val="0"/>
        <w:snapToGrid w:val="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（三）单场展览制作硬性标准</w:t>
      </w:r>
    </w:p>
    <w:p w14:paraId="57D9A759">
      <w:pPr>
        <w:pStyle w:val="5"/>
        <w:shd w:val="clear" w:color="auto" w:fill="FFFFFF"/>
        <w:adjustRightInd w:val="0"/>
        <w:snapToGrid w:val="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所有线上展览统一采用jpg、jpge、png、bmp等通用格式图片或pdf、psd、ai、cdr等主流格式源文件形式制作，无需专属载体，满足公共场景传播需求，单场展览需符合以下标准：</w:t>
      </w:r>
    </w:p>
    <w:p w14:paraId="53F5F76B">
      <w:pPr>
        <w:pStyle w:val="5"/>
        <w:shd w:val="clear" w:color="auto" w:fill="FFFFFF"/>
        <w:adjustRightInd w:val="0"/>
        <w:snapToGrid w:val="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1.版式篇幅标准：单场展览页面数量不少于30页，结构完整规范，包含封面、前言/卷首语、主题导语、分章节内容、总结结语、封底六大基础模块，内容层级清晰、逻辑完整、篇幅饱满。</w:t>
      </w:r>
    </w:p>
    <w:p w14:paraId="1E21A7E7">
      <w:pPr>
        <w:pStyle w:val="5"/>
        <w:shd w:val="clear" w:color="auto" w:fill="FFFFFF"/>
        <w:adjustRightInd w:val="0"/>
        <w:snapToGrid w:val="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2.文案内容标准：所有文字内容为原创编辑，经多轮校对，无错别字、语病、标点错误，无低俗、敏感、违规内容，严格契合公共文化宣传规范，可根据甲方审核意见免费调整修改。</w:t>
      </w:r>
    </w:p>
    <w:p w14:paraId="0C330F34">
      <w:pPr>
        <w:pStyle w:val="5"/>
        <w:shd w:val="clear" w:color="auto" w:fill="FFFFFF"/>
        <w:adjustRightInd w:val="0"/>
        <w:snapToGrid w:val="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3.视觉设计标准：每场展览独立设计专属主视觉、主色调，版式简洁大气、风格统一，贴合图书馆公益文化属性；所有配图高清无水印、无模糊拉伸、无畸变，整体视觉效果协调统一。</w:t>
      </w:r>
    </w:p>
    <w:p w14:paraId="1DDAFFE8">
      <w:pPr>
        <w:pStyle w:val="5"/>
        <w:shd w:val="clear" w:color="auto" w:fill="FFFFFF"/>
        <w:adjustRightInd w:val="0"/>
        <w:snapToGrid w:val="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4.版权合规标准：项目所用图片、字体、素材、设计作品均为正版合规资源，供应商须出具版权合规承诺。服务期内及成果使用过程中，若出现任何版权纠纷、侵权投诉，由供应商承担全部法律责任与经济损失。</w:t>
      </w:r>
    </w:p>
    <w:p w14:paraId="75981BBA">
      <w:pPr>
        <w:pStyle w:val="5"/>
        <w:shd w:val="clear" w:color="auto" w:fill="FFFFFF"/>
        <w:adjustRightInd w:val="0"/>
        <w:snapToGrid w:val="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5.交互体验标准：支持手机、平板、电脑全终端自适应适配，支持微信、浏览器多渠道打开，翻页、滑动操作流畅无卡顿，交互体验稳定顺畅。</w:t>
      </w:r>
    </w:p>
    <w:p w14:paraId="47D643E5">
      <w:pPr>
        <w:pStyle w:val="5"/>
        <w:shd w:val="clear" w:color="auto" w:fill="FFFFFF"/>
        <w:adjustRightInd w:val="0"/>
        <w:snapToGrid w:val="0"/>
        <w:spacing w:before="0" w:beforeAutospacing="0" w:after="0" w:afterAutospacing="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6.访问传播标准：无需下载APP、无需注册登录、无需安装插件，点开即览，支持全屏展示，可直接转发至公众号、视频号、社群、朋友圈及官网平台。</w:t>
      </w:r>
    </w:p>
    <w:p w14:paraId="00980664">
      <w:pPr>
        <w:pStyle w:val="5"/>
        <w:shd w:val="clear" w:color="auto" w:fill="FFFFFF"/>
        <w:adjustRightInd w:val="0"/>
        <w:snapToGrid w:val="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（四）单场展览全套交付成果</w:t>
      </w:r>
    </w:p>
    <w:p w14:paraId="6339E512">
      <w:pPr>
        <w:pStyle w:val="5"/>
        <w:shd w:val="clear" w:color="auto" w:fill="FFFFFF"/>
        <w:adjustRightInd w:val="0"/>
        <w:snapToGrid w:val="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每场展览验收合格后，供应商须完整交付全套成果资料，所有成果使用权归甲方所有，具体包含：</w:t>
      </w:r>
    </w:p>
    <w:p w14:paraId="3F15CCF7">
      <w:pPr>
        <w:pStyle w:val="5"/>
        <w:shd w:val="clear" w:color="auto" w:fill="FFFFFF"/>
        <w:adjustRightInd w:val="0"/>
        <w:snapToGrid w:val="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1.永久有效线上展览访问链接，保障长期稳定访问、无失效、无宕机</w:t>
      </w:r>
    </w:p>
    <w:p w14:paraId="4264F479">
      <w:pPr>
        <w:pStyle w:val="5"/>
        <w:shd w:val="clear" w:color="auto" w:fill="FFFFFF"/>
        <w:adjustRightInd w:val="0"/>
        <w:snapToGrid w:val="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2.全套高清设计源文件、展览配图素材、版式文件</w:t>
      </w:r>
    </w:p>
    <w:p w14:paraId="3603B082">
      <w:pPr>
        <w:pStyle w:val="5"/>
        <w:shd w:val="clear" w:color="auto" w:fill="FFFFFF"/>
        <w:adjustRightInd w:val="0"/>
        <w:snapToGrid w:val="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3.展览完整图文定稿文档（可直接用于官网、公众号转载发布）</w:t>
      </w:r>
    </w:p>
    <w:p w14:paraId="469729F1">
      <w:pPr>
        <w:pStyle w:val="5"/>
        <w:shd w:val="clear" w:color="auto" w:fill="FFFFFF"/>
        <w:adjustRightInd w:val="0"/>
        <w:snapToGrid w:val="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4.展览专属高清宣传主海报1张</w:t>
      </w:r>
    </w:p>
    <w:p w14:paraId="3030DDAA">
      <w:pPr>
        <w:pStyle w:val="5"/>
        <w:shd w:val="clear" w:color="auto" w:fill="FFFFFF"/>
        <w:adjustRightInd w:val="0"/>
        <w:snapToGrid w:val="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5.配套宣传短导语、推广文案，适配新媒体推送场景</w:t>
      </w:r>
    </w:p>
    <w:p w14:paraId="5DB497CD">
      <w:pPr>
        <w:pStyle w:val="5"/>
        <w:shd w:val="clear" w:color="auto" w:fill="FFFFFF"/>
        <w:adjustRightInd w:val="0"/>
        <w:snapToGrid w:val="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（五）修改优化与运维服务</w:t>
      </w:r>
    </w:p>
    <w:p w14:paraId="74307387">
      <w:pPr>
        <w:pStyle w:val="5"/>
        <w:shd w:val="clear" w:color="auto" w:fill="FFFFFF"/>
        <w:adjustRightInd w:val="0"/>
        <w:snapToGrid w:val="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1.单场展览制作期间，支持不限次数免费修改优化，涵盖文案调整、图片替换、版式修改、内容增减、色调调整等，直至甲方验收合格。</w:t>
      </w:r>
    </w:p>
    <w:p w14:paraId="01CCFD01">
      <w:pPr>
        <w:pStyle w:val="5"/>
        <w:shd w:val="clear" w:color="auto" w:fill="FFFFFF"/>
        <w:adjustRightInd w:val="0"/>
        <w:snapToGrid w:val="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2.支持甲方紧急加急需求，可配合重大节点、突发宣传任务快速制作上线。</w:t>
      </w:r>
    </w:p>
    <w:p w14:paraId="3012C5B0">
      <w:pPr>
        <w:pStyle w:val="5"/>
        <w:shd w:val="clear" w:color="auto" w:fill="FFFFFF"/>
        <w:adjustRightInd w:val="0"/>
        <w:snapToGrid w:val="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3.已上线展览服务期内提供全程免费运维、微调更新、链接维护服务。</w:t>
      </w:r>
    </w:p>
    <w:p w14:paraId="5B36BEDD">
      <w:pPr>
        <w:pStyle w:val="5"/>
        <w:shd w:val="clear" w:color="auto" w:fill="FFFFFF"/>
        <w:adjustRightInd w:val="0"/>
        <w:snapToGrid w:val="0"/>
        <w:contextualSpacing/>
        <w:jc w:val="both"/>
        <w:rPr>
          <w:rFonts w:ascii="仿宋" w:hAnsi="仿宋" w:eastAsia="仿宋" w:cs="仿宋_GB2312"/>
          <w:b/>
          <w:bCs/>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b/>
          <w:bCs/>
          <w:color w:val="000000" w:themeColor="text1"/>
          <w:kern w:val="2"/>
          <w:sz w:val="32"/>
          <w:szCs w:val="32"/>
          <w:shd w:val="clear" w:color="auto" w:fill="FFFFFF"/>
          <w14:textFill>
            <w14:solidFill>
              <w14:schemeClr w14:val="tx1"/>
            </w14:solidFill>
          </w14:textFill>
        </w:rPr>
        <w:t>五、项目人员与服务响应标准</w:t>
      </w:r>
    </w:p>
    <w:p w14:paraId="5E451187">
      <w:pPr>
        <w:pStyle w:val="5"/>
        <w:shd w:val="clear" w:color="auto" w:fill="FFFFFF"/>
        <w:adjustRightInd w:val="0"/>
        <w:snapToGrid w:val="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1.供应商须组建专属项目服务团队，配备固定对接专员、文案策划、视觉设计、技术制作人员，提供一对一全程专属服务。</w:t>
      </w:r>
    </w:p>
    <w:p w14:paraId="1ABE61CE">
      <w:pPr>
        <w:pStyle w:val="5"/>
        <w:shd w:val="clear" w:color="auto" w:fill="FFFFFF"/>
        <w:adjustRightInd w:val="0"/>
        <w:snapToGrid w:val="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2.日常工作时间内，需求咨询、修改指令30分钟内响应，常规修改调整工作24小时内完成交付。</w:t>
      </w:r>
    </w:p>
    <w:p w14:paraId="14BAD5AF">
      <w:pPr>
        <w:pStyle w:val="5"/>
        <w:shd w:val="clear" w:color="auto" w:fill="FFFFFF"/>
        <w:adjustRightInd w:val="0"/>
        <w:snapToGrid w:val="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3.针对重大节日、读书月、专项活动等紧急任务，优先排期、加急制作，保障按时上线。</w:t>
      </w:r>
    </w:p>
    <w:p w14:paraId="5EA456BD">
      <w:pPr>
        <w:pStyle w:val="5"/>
        <w:shd w:val="clear" w:color="auto" w:fill="FFFFFF"/>
        <w:adjustRightInd w:val="0"/>
        <w:snapToGrid w:val="0"/>
        <w:contextualSpacing/>
        <w:jc w:val="both"/>
        <w:rPr>
          <w:rFonts w:ascii="仿宋" w:hAnsi="仿宋" w:eastAsia="仿宋" w:cs="仿宋_GB2312"/>
          <w:b/>
          <w:bCs/>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b/>
          <w:bCs/>
          <w:color w:val="000000" w:themeColor="text1"/>
          <w:kern w:val="2"/>
          <w:sz w:val="32"/>
          <w:szCs w:val="32"/>
          <w:shd w:val="clear" w:color="auto" w:fill="FFFFFF"/>
          <w14:textFill>
            <w14:solidFill>
              <w14:schemeClr w14:val="tx1"/>
            </w14:solidFill>
          </w14:textFill>
        </w:rPr>
        <w:t>六、平台技术稳定性要求</w:t>
      </w:r>
    </w:p>
    <w:p w14:paraId="61A08B64">
      <w:pPr>
        <w:pStyle w:val="5"/>
        <w:shd w:val="clear" w:color="auto" w:fill="FFFFFF"/>
        <w:adjustRightInd w:val="0"/>
        <w:snapToGrid w:val="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1.展览依托稳定官方服务器部署，支持高并发访问，服务期内无宕机、无卡顿、无链接失效等问题。</w:t>
      </w:r>
    </w:p>
    <w:p w14:paraId="67106965">
      <w:pPr>
        <w:pStyle w:val="5"/>
        <w:shd w:val="clear" w:color="auto" w:fill="FFFFFF"/>
        <w:adjustRightInd w:val="0"/>
        <w:snapToGrid w:val="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2.所有展览成果永久留存、长期公开可访问，服务期满后不得私自下架、关停、失效。</w:t>
      </w:r>
    </w:p>
    <w:p w14:paraId="7BA8415F">
      <w:pPr>
        <w:pStyle w:val="5"/>
        <w:shd w:val="clear" w:color="auto" w:fill="FFFFFF"/>
        <w:adjustRightInd w:val="0"/>
        <w:snapToGrid w:val="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3.支持无缝嵌入图书馆官方网站、微信公众号、小程序、视频号等各类官方宣传端口。</w:t>
      </w:r>
    </w:p>
    <w:p w14:paraId="00E0D91E">
      <w:pPr>
        <w:pStyle w:val="5"/>
        <w:shd w:val="clear" w:color="auto" w:fill="FFFFFF"/>
        <w:adjustRightInd w:val="0"/>
        <w:snapToGrid w:val="0"/>
        <w:contextualSpacing/>
        <w:jc w:val="both"/>
        <w:rPr>
          <w:rFonts w:ascii="仿宋" w:hAnsi="仿宋" w:eastAsia="仿宋" w:cs="仿宋_GB2312"/>
          <w:b/>
          <w:bCs/>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b/>
          <w:bCs/>
          <w:color w:val="000000" w:themeColor="text1"/>
          <w:kern w:val="2"/>
          <w:sz w:val="32"/>
          <w:szCs w:val="32"/>
          <w:shd w:val="clear" w:color="auto" w:fill="FFFFFF"/>
          <w14:textFill>
            <w14:solidFill>
              <w14:schemeClr w14:val="tx1"/>
            </w14:solidFill>
          </w14:textFill>
        </w:rPr>
        <w:t>七、验收标准与方式</w:t>
      </w:r>
    </w:p>
    <w:p w14:paraId="4CF61443">
      <w:pPr>
        <w:pStyle w:val="5"/>
        <w:shd w:val="clear" w:color="auto" w:fill="FFFFFF"/>
        <w:adjustRightInd w:val="0"/>
        <w:snapToGrid w:val="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项目实行分批验收、年度总验收模式。供应商每完成一批次展览制作，经甲方审核，满足场次要求、内容合规、设计达标、链接稳定、资料齐全即为合格。全年累计完成不少于44场合格线上展览，无质量问题、无违规问题、无版权纠纷，完成全部成果归档交付后，完成项目年度整体验收。</w:t>
      </w:r>
    </w:p>
    <w:p w14:paraId="1774294F">
      <w:pPr>
        <w:pStyle w:val="5"/>
        <w:shd w:val="clear" w:color="auto" w:fill="FFFFFF"/>
        <w:adjustRightInd w:val="0"/>
        <w:snapToGrid w:val="0"/>
        <w:contextualSpacing/>
        <w:jc w:val="both"/>
        <w:rPr>
          <w:rFonts w:ascii="仿宋" w:hAnsi="仿宋" w:eastAsia="仿宋" w:cs="仿宋_GB2312"/>
          <w:b/>
          <w:bCs/>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b/>
          <w:bCs/>
          <w:color w:val="000000" w:themeColor="text1"/>
          <w:kern w:val="2"/>
          <w:sz w:val="32"/>
          <w:szCs w:val="32"/>
          <w:shd w:val="clear" w:color="auto" w:fill="FFFFFF"/>
          <w14:textFill>
            <w14:solidFill>
              <w14:schemeClr w14:val="tx1"/>
            </w14:solidFill>
          </w14:textFill>
        </w:rPr>
        <w:t>八、服务约束与违约要求</w:t>
      </w:r>
    </w:p>
    <w:p w14:paraId="5E6167E8">
      <w:pPr>
        <w:pStyle w:val="5"/>
        <w:shd w:val="clear" w:color="auto" w:fill="FFFFFF"/>
        <w:adjustRightInd w:val="0"/>
        <w:snapToGrid w:val="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1.严禁使用网络劣质模板、拼凑搬运网络内容、低质模糊素材制作展览。</w:t>
      </w:r>
    </w:p>
    <w:p w14:paraId="59DC0F90">
      <w:pPr>
        <w:pStyle w:val="5"/>
        <w:shd w:val="clear" w:color="auto" w:fill="FFFFFF"/>
        <w:adjustRightInd w:val="0"/>
        <w:snapToGrid w:val="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2.所有展览内容严格审核，严禁出现错别字、违规画面、政治敏感及不符合公共宣传规范的内容。</w:t>
      </w:r>
    </w:p>
    <w:p w14:paraId="12C992A6">
      <w:pPr>
        <w:pStyle w:val="5"/>
        <w:shd w:val="clear" w:color="auto" w:fill="FFFFFF"/>
        <w:adjustRightInd w:val="0"/>
        <w:snapToGrid w:val="0"/>
        <w:spacing w:before="0" w:beforeAutospacing="0" w:after="0" w:afterAutospacing="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3.若出现展览场次不足、质量不达标、多次整改仍不合格、版权侵权、链接长期失效等问题，甲方有权不予验收、扣除相应服务费用，情节严重者可终止服务合同并追究相关责任。</w:t>
      </w:r>
    </w:p>
    <w:p w14:paraId="0F459890">
      <w:pPr>
        <w:adjustRightInd w:val="0"/>
        <w:snapToGrid w:val="0"/>
        <w:contextualSpacing/>
        <w:rPr>
          <w:rFonts w:ascii="仿宋" w:hAnsi="仿宋" w:eastAsia="仿宋" w:cs="仿宋_GB2312"/>
          <w:b/>
          <w:color w:val="000000" w:themeColor="text1"/>
          <w:sz w:val="32"/>
          <w:szCs w:val="32"/>
          <w:shd w:val="clear" w:color="auto" w:fill="FFFFFF"/>
          <w14:textFill>
            <w14:solidFill>
              <w14:schemeClr w14:val="tx1"/>
            </w14:solidFill>
          </w14:textFill>
        </w:rPr>
      </w:pPr>
      <w:r>
        <w:rPr>
          <w:rFonts w:hint="eastAsia" w:ascii="仿宋" w:hAnsi="仿宋" w:eastAsia="仿宋" w:cs="仿宋_GB2312"/>
          <w:b/>
          <w:color w:val="000000" w:themeColor="text1"/>
          <w:sz w:val="32"/>
          <w:szCs w:val="32"/>
          <w:shd w:val="clear" w:color="auto" w:fill="FFFFFF"/>
          <w14:textFill>
            <w14:solidFill>
              <w14:schemeClr w14:val="tx1"/>
            </w14:solidFill>
          </w14:textFill>
        </w:rPr>
        <w:t>九、供应商资格</w:t>
      </w:r>
    </w:p>
    <w:p w14:paraId="7BFA83C2">
      <w:pPr>
        <w:adjustRightInd w:val="0"/>
        <w:snapToGrid w:val="0"/>
        <w:ind w:firstLine="640" w:firstLineChars="200"/>
        <w:contextualSpacing/>
        <w:rPr>
          <w:rFonts w:ascii="仿宋" w:hAnsi="仿宋" w:eastAsia="仿宋" w:cs="仿宋_GB2312"/>
          <w:color w:val="000000" w:themeColor="text1"/>
          <w:sz w:val="32"/>
          <w:szCs w:val="32"/>
          <w:shd w:val="clear" w:color="auto" w:fill="FFFFFF"/>
          <w14:textFill>
            <w14:solidFill>
              <w14:schemeClr w14:val="tx1"/>
            </w14:solidFill>
          </w14:textFill>
        </w:rPr>
      </w:pPr>
      <w:r>
        <w:rPr>
          <w:rFonts w:hint="eastAsia" w:ascii="仿宋" w:hAnsi="仿宋" w:eastAsia="仿宋" w:cs="仿宋_GB2312"/>
          <w:color w:val="000000" w:themeColor="text1"/>
          <w:sz w:val="32"/>
          <w:szCs w:val="32"/>
          <w:shd w:val="clear" w:color="auto" w:fill="FFFFFF"/>
          <w14:textFill>
            <w14:solidFill>
              <w14:schemeClr w14:val="tx1"/>
            </w14:solidFill>
          </w14:textFill>
        </w:rPr>
        <w:t>（一）必须符合《中华人民共和国政府采购法》第二十二条规定的条件，提供以下材料：</w:t>
      </w:r>
    </w:p>
    <w:p w14:paraId="549D9333">
      <w:pPr>
        <w:adjustRightInd w:val="0"/>
        <w:snapToGrid w:val="0"/>
        <w:ind w:firstLine="640" w:firstLineChars="200"/>
        <w:contextualSpacing/>
        <w:rPr>
          <w:rFonts w:ascii="仿宋" w:hAnsi="仿宋" w:eastAsia="仿宋" w:cs="仿宋_GB2312"/>
          <w:color w:val="000000" w:themeColor="text1"/>
          <w:sz w:val="32"/>
          <w:szCs w:val="32"/>
          <w:shd w:val="clear" w:color="auto" w:fill="FFFFFF"/>
          <w14:textFill>
            <w14:solidFill>
              <w14:schemeClr w14:val="tx1"/>
            </w14:solidFill>
          </w14:textFill>
        </w:rPr>
      </w:pPr>
      <w:r>
        <w:rPr>
          <w:rFonts w:hint="eastAsia" w:ascii="仿宋" w:hAnsi="仿宋" w:eastAsia="仿宋" w:cs="仿宋_GB2312"/>
          <w:color w:val="000000" w:themeColor="text1"/>
          <w:sz w:val="32"/>
          <w:szCs w:val="32"/>
          <w:shd w:val="clear" w:color="auto" w:fill="FFFFFF"/>
          <w14:textFill>
            <w14:solidFill>
              <w14:schemeClr w14:val="tx1"/>
            </w14:solidFill>
          </w14:textFill>
        </w:rPr>
        <w:t>1.提供营业执照（或事业单位法人证书，或社会团体法人登记证书，或执业许可证）复印件；</w:t>
      </w:r>
    </w:p>
    <w:p w14:paraId="3C24F0C2">
      <w:pPr>
        <w:adjustRightInd w:val="0"/>
        <w:snapToGrid w:val="0"/>
        <w:ind w:firstLine="640" w:firstLineChars="200"/>
        <w:contextualSpacing/>
        <w:rPr>
          <w:rFonts w:ascii="仿宋" w:hAnsi="仿宋" w:eastAsia="仿宋" w:cs="仿宋_GB2312"/>
          <w:color w:val="000000" w:themeColor="text1"/>
          <w:sz w:val="32"/>
          <w:szCs w:val="32"/>
          <w:shd w:val="clear" w:color="auto" w:fill="FFFFFF"/>
          <w14:textFill>
            <w14:solidFill>
              <w14:schemeClr w14:val="tx1"/>
            </w14:solidFill>
          </w14:textFill>
        </w:rPr>
      </w:pPr>
      <w:r>
        <w:rPr>
          <w:rFonts w:hint="eastAsia" w:ascii="仿宋" w:hAnsi="仿宋" w:eastAsia="仿宋" w:cs="仿宋_GB2312"/>
          <w:color w:val="000000" w:themeColor="text1"/>
          <w:sz w:val="32"/>
          <w:szCs w:val="32"/>
          <w:shd w:val="clear" w:color="auto" w:fill="FFFFFF"/>
          <w14:textFill>
            <w14:solidFill>
              <w14:schemeClr w14:val="tx1"/>
            </w14:solidFill>
          </w14:textFill>
        </w:rPr>
        <w:t>2.提供202</w:t>
      </w:r>
      <w:r>
        <w:rPr>
          <w:rFonts w:ascii="仿宋" w:hAnsi="仿宋" w:eastAsia="仿宋" w:cs="仿宋_GB2312"/>
          <w:color w:val="000000" w:themeColor="text1"/>
          <w:sz w:val="32"/>
          <w:szCs w:val="32"/>
          <w:shd w:val="clear" w:color="auto" w:fill="FFFFFF"/>
          <w14:textFill>
            <w14:solidFill>
              <w14:schemeClr w14:val="tx1"/>
            </w14:solidFill>
          </w14:textFill>
        </w:rPr>
        <w:t>4</w:t>
      </w:r>
      <w:r>
        <w:rPr>
          <w:rFonts w:hint="eastAsia" w:ascii="仿宋" w:hAnsi="仿宋" w:eastAsia="仿宋" w:cs="仿宋_GB2312"/>
          <w:color w:val="000000" w:themeColor="text1"/>
          <w:sz w:val="32"/>
          <w:szCs w:val="32"/>
          <w:shd w:val="clear" w:color="auto" w:fill="FFFFFF"/>
          <w14:textFill>
            <w14:solidFill>
              <w14:schemeClr w14:val="tx1"/>
            </w14:solidFill>
          </w14:textFill>
        </w:rPr>
        <w:t>年或202</w:t>
      </w:r>
      <w:r>
        <w:rPr>
          <w:rFonts w:ascii="仿宋" w:hAnsi="仿宋" w:eastAsia="仿宋" w:cs="仿宋_GB2312"/>
          <w:color w:val="000000" w:themeColor="text1"/>
          <w:sz w:val="32"/>
          <w:szCs w:val="32"/>
          <w:shd w:val="clear" w:color="auto" w:fill="FFFFFF"/>
          <w14:textFill>
            <w14:solidFill>
              <w14:schemeClr w14:val="tx1"/>
            </w14:solidFill>
          </w14:textFill>
        </w:rPr>
        <w:t>5</w:t>
      </w:r>
      <w:r>
        <w:rPr>
          <w:rFonts w:hint="eastAsia" w:ascii="仿宋" w:hAnsi="仿宋" w:eastAsia="仿宋" w:cs="仿宋_GB2312"/>
          <w:color w:val="000000" w:themeColor="text1"/>
          <w:sz w:val="32"/>
          <w:szCs w:val="32"/>
          <w:shd w:val="clear" w:color="auto" w:fill="FFFFFF"/>
          <w14:textFill>
            <w14:solidFill>
              <w14:schemeClr w14:val="tx1"/>
            </w14:solidFill>
          </w14:textFill>
        </w:rPr>
        <w:t>年财务状况报告复印件或银行出具的资信证明材料复印件；</w:t>
      </w:r>
    </w:p>
    <w:p w14:paraId="70350529">
      <w:pPr>
        <w:adjustRightInd w:val="0"/>
        <w:snapToGrid w:val="0"/>
        <w:ind w:firstLine="640" w:firstLineChars="200"/>
        <w:contextualSpacing/>
        <w:rPr>
          <w:rFonts w:ascii="仿宋" w:hAnsi="仿宋" w:eastAsia="仿宋" w:cs="仿宋_GB2312"/>
          <w:color w:val="000000" w:themeColor="text1"/>
          <w:sz w:val="32"/>
          <w:szCs w:val="32"/>
          <w:shd w:val="clear" w:color="auto" w:fill="FFFFFF"/>
          <w14:textFill>
            <w14:solidFill>
              <w14:schemeClr w14:val="tx1"/>
            </w14:solidFill>
          </w14:textFill>
        </w:rPr>
      </w:pPr>
      <w:r>
        <w:rPr>
          <w:rFonts w:hint="eastAsia" w:ascii="仿宋" w:hAnsi="仿宋" w:eastAsia="仿宋" w:cs="仿宋_GB2312"/>
          <w:color w:val="000000" w:themeColor="text1"/>
          <w:sz w:val="32"/>
          <w:szCs w:val="32"/>
          <w:shd w:val="clear" w:color="auto" w:fill="FFFFFF"/>
          <w14:textFill>
            <w14:solidFill>
              <w14:schemeClr w14:val="tx1"/>
            </w14:solidFill>
          </w14:textFill>
        </w:rPr>
        <w:t>3.提供近半年任意一个月的依法缴纳税收的证明（纳税凭证）复印件，如依法免税的，应提供相应文件证明其依法免税；</w:t>
      </w:r>
    </w:p>
    <w:p w14:paraId="3D13E90F">
      <w:pPr>
        <w:adjustRightInd w:val="0"/>
        <w:snapToGrid w:val="0"/>
        <w:ind w:firstLine="640" w:firstLineChars="200"/>
        <w:contextualSpacing/>
        <w:rPr>
          <w:rFonts w:ascii="仿宋" w:hAnsi="仿宋" w:eastAsia="仿宋" w:cs="仿宋_GB2312"/>
          <w:color w:val="000000" w:themeColor="text1"/>
          <w:sz w:val="32"/>
          <w:szCs w:val="32"/>
          <w:shd w:val="clear" w:color="auto" w:fill="FFFFFF"/>
          <w14:textFill>
            <w14:solidFill>
              <w14:schemeClr w14:val="tx1"/>
            </w14:solidFill>
          </w14:textFill>
        </w:rPr>
      </w:pPr>
      <w:r>
        <w:rPr>
          <w:rFonts w:hint="eastAsia" w:ascii="仿宋" w:hAnsi="仿宋" w:eastAsia="仿宋" w:cs="仿宋_GB2312"/>
          <w:color w:val="000000" w:themeColor="text1"/>
          <w:sz w:val="32"/>
          <w:szCs w:val="32"/>
          <w:shd w:val="clear" w:color="auto" w:fill="FFFFFF"/>
          <w14:textFill>
            <w14:solidFill>
              <w14:schemeClr w14:val="tx1"/>
            </w14:solidFill>
          </w14:textFill>
        </w:rPr>
        <w:t>4.提供近半年任意一个月的依法缴纳社会保险的证明（缴费凭证）复印件，如依法不需要缴纳社会保障资金的，应提供相应文件证明其依法不需要缴纳社会保障资金；</w:t>
      </w:r>
    </w:p>
    <w:p w14:paraId="3FE0C555">
      <w:pPr>
        <w:adjustRightInd w:val="0"/>
        <w:snapToGrid w:val="0"/>
        <w:ind w:firstLine="640" w:firstLineChars="200"/>
        <w:contextualSpacing/>
        <w:rPr>
          <w:rFonts w:ascii="仿宋" w:hAnsi="仿宋" w:eastAsia="仿宋" w:cs="仿宋_GB2312"/>
          <w:color w:val="000000" w:themeColor="text1"/>
          <w:sz w:val="32"/>
          <w:szCs w:val="32"/>
          <w:shd w:val="clear" w:color="auto" w:fill="FFFFFF"/>
          <w14:textFill>
            <w14:solidFill>
              <w14:schemeClr w14:val="tx1"/>
            </w14:solidFill>
          </w14:textFill>
        </w:rPr>
      </w:pPr>
      <w:r>
        <w:rPr>
          <w:rFonts w:hint="eastAsia" w:ascii="仿宋" w:hAnsi="仿宋" w:eastAsia="仿宋" w:cs="仿宋_GB2312"/>
          <w:color w:val="000000" w:themeColor="text1"/>
          <w:sz w:val="32"/>
          <w:szCs w:val="32"/>
          <w:shd w:val="clear" w:color="auto" w:fill="FFFFFF"/>
          <w14:textFill>
            <w14:solidFill>
              <w14:schemeClr w14:val="tx1"/>
            </w14:solidFill>
          </w14:textFill>
        </w:rPr>
        <w:t>5.提供履行合同所必需的设备和专业技术能力的书面声明；</w:t>
      </w:r>
    </w:p>
    <w:p w14:paraId="2CFF2266">
      <w:pPr>
        <w:adjustRightInd w:val="0"/>
        <w:snapToGrid w:val="0"/>
        <w:ind w:firstLine="640" w:firstLineChars="200"/>
        <w:contextualSpacing/>
        <w:rPr>
          <w:rFonts w:ascii="仿宋" w:hAnsi="仿宋" w:eastAsia="仿宋" w:cs="仿宋_GB2312"/>
          <w:color w:val="000000" w:themeColor="text1"/>
          <w:sz w:val="32"/>
          <w:szCs w:val="32"/>
          <w:shd w:val="clear" w:color="auto" w:fill="FFFFFF"/>
          <w14:textFill>
            <w14:solidFill>
              <w14:schemeClr w14:val="tx1"/>
            </w14:solidFill>
          </w14:textFill>
        </w:rPr>
      </w:pPr>
      <w:r>
        <w:rPr>
          <w:rFonts w:hint="eastAsia" w:ascii="仿宋" w:hAnsi="仿宋" w:eastAsia="仿宋" w:cs="仿宋_GB2312"/>
          <w:color w:val="000000" w:themeColor="text1"/>
          <w:sz w:val="32"/>
          <w:szCs w:val="32"/>
          <w:shd w:val="clear" w:color="auto" w:fill="FFFFFF"/>
          <w14:textFill>
            <w14:solidFill>
              <w14:schemeClr w14:val="tx1"/>
            </w14:solidFill>
          </w14:textFill>
        </w:rPr>
        <w:t>6.提供参加政府采购活动前3年内在经营活动中没有重大违法记录的书面声明。</w:t>
      </w:r>
    </w:p>
    <w:p w14:paraId="52D778B2">
      <w:pPr>
        <w:adjustRightInd w:val="0"/>
        <w:snapToGrid w:val="0"/>
        <w:ind w:firstLine="640" w:firstLineChars="200"/>
        <w:contextualSpacing/>
        <w:rPr>
          <w:rFonts w:ascii="仿宋" w:hAnsi="仿宋" w:eastAsia="仿宋" w:cs="仿宋_GB2312"/>
          <w:color w:val="000000" w:themeColor="text1"/>
          <w:sz w:val="32"/>
          <w:szCs w:val="32"/>
          <w:shd w:val="clear" w:color="auto" w:fill="FFFFFF"/>
          <w14:textFill>
            <w14:solidFill>
              <w14:schemeClr w14:val="tx1"/>
            </w14:solidFill>
          </w14:textFill>
        </w:rPr>
      </w:pPr>
      <w:r>
        <w:rPr>
          <w:rFonts w:hint="eastAsia" w:ascii="仿宋" w:hAnsi="仿宋" w:eastAsia="仿宋" w:cs="仿宋_GB2312"/>
          <w:color w:val="000000" w:themeColor="text1"/>
          <w:sz w:val="32"/>
          <w:szCs w:val="32"/>
          <w:shd w:val="clear" w:color="auto" w:fill="FFFFFF"/>
          <w14:textFill>
            <w14:solidFill>
              <w14:schemeClr w14:val="tx1"/>
            </w14:solidFill>
          </w14:textFill>
        </w:rPr>
        <w:t>（二）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14:paraId="612564F1">
      <w:pPr>
        <w:adjustRightInd w:val="0"/>
        <w:snapToGrid w:val="0"/>
        <w:ind w:firstLine="640" w:firstLineChars="200"/>
        <w:contextualSpacing/>
        <w:rPr>
          <w:rFonts w:ascii="仿宋" w:hAnsi="仿宋" w:eastAsia="仿宋" w:cs="仿宋_GB2312"/>
          <w:color w:val="000000" w:themeColor="text1"/>
          <w:sz w:val="32"/>
          <w:szCs w:val="32"/>
          <w:shd w:val="clear" w:color="auto" w:fill="FFFFFF"/>
          <w14:textFill>
            <w14:solidFill>
              <w14:schemeClr w14:val="tx1"/>
            </w14:solidFill>
          </w14:textFill>
        </w:rPr>
      </w:pPr>
      <w:r>
        <w:rPr>
          <w:rFonts w:hint="eastAsia" w:ascii="仿宋" w:hAnsi="仿宋" w:eastAsia="仿宋" w:cs="仿宋_GB2312"/>
          <w:color w:val="000000" w:themeColor="text1"/>
          <w:sz w:val="32"/>
          <w:szCs w:val="32"/>
          <w:shd w:val="clear" w:color="auto" w:fill="FFFFFF"/>
          <w14:textFill>
            <w14:solidFill>
              <w14:schemeClr w14:val="tx1"/>
            </w14:solidFill>
          </w14:textFill>
        </w:rPr>
        <w:t>（三）本项目不接受联合体报价</w:t>
      </w:r>
    </w:p>
    <w:p w14:paraId="2F3E361B">
      <w:pPr>
        <w:pStyle w:val="5"/>
        <w:shd w:val="clear" w:color="auto" w:fill="FFFFFF"/>
        <w:adjustRightInd w:val="0"/>
        <w:snapToGrid w:val="0"/>
        <w:spacing w:before="0" w:beforeAutospacing="0" w:after="0" w:afterAutospacing="0"/>
        <w:contextualSpacing/>
        <w:jc w:val="both"/>
        <w:rPr>
          <w:rFonts w:ascii="仿宋" w:hAnsi="仿宋" w:eastAsia="仿宋" w:cs="仿宋_GB2312"/>
          <w:b/>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b/>
          <w:color w:val="000000" w:themeColor="text1"/>
          <w:kern w:val="2"/>
          <w:sz w:val="32"/>
          <w:szCs w:val="32"/>
          <w:shd w:val="clear" w:color="auto" w:fill="FFFFFF"/>
          <w14:textFill>
            <w14:solidFill>
              <w14:schemeClr w14:val="tx1"/>
            </w14:solidFill>
          </w14:textFill>
        </w:rPr>
        <w:t>十、商务要求</w:t>
      </w:r>
    </w:p>
    <w:p w14:paraId="00AE83CD">
      <w:pPr>
        <w:pStyle w:val="5"/>
        <w:shd w:val="clear" w:color="auto" w:fill="FFFFFF"/>
        <w:adjustRightInd w:val="0"/>
        <w:snapToGrid w:val="0"/>
        <w:spacing w:before="0" w:beforeAutospacing="0" w:after="0" w:afterAutospacing="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（一）服务方式。</w:t>
      </w:r>
    </w:p>
    <w:p w14:paraId="420308B8">
      <w:pPr>
        <w:pStyle w:val="5"/>
        <w:shd w:val="clear" w:color="auto" w:fill="FFFFFF"/>
        <w:adjustRightInd w:val="0"/>
        <w:snapToGrid w:val="0"/>
        <w:spacing w:before="0" w:beforeAutospacing="0" w:after="0" w:afterAutospacing="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1.服务期：采购人指定日期。</w:t>
      </w:r>
    </w:p>
    <w:p w14:paraId="09724BFF">
      <w:pPr>
        <w:pStyle w:val="5"/>
        <w:shd w:val="clear" w:color="auto" w:fill="FFFFFF"/>
        <w:adjustRightInd w:val="0"/>
        <w:snapToGrid w:val="0"/>
        <w:spacing w:before="0" w:beforeAutospacing="0" w:after="0" w:afterAutospacing="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2.服务地点：采购人指定地点。</w:t>
      </w:r>
    </w:p>
    <w:p w14:paraId="506318C2">
      <w:pPr>
        <w:pStyle w:val="5"/>
        <w:shd w:val="clear" w:color="auto" w:fill="FFFFFF"/>
        <w:adjustRightInd w:val="0"/>
        <w:snapToGrid w:val="0"/>
        <w:spacing w:before="0" w:beforeAutospacing="0" w:after="0" w:afterAutospacing="0"/>
        <w:ind w:firstLine="640" w:firstLineChars="200"/>
        <w:contextualSpacing/>
        <w:jc w:val="both"/>
        <w:rPr>
          <w:rFonts w:ascii="仿宋" w:hAnsi="仿宋" w:eastAsia="仿宋" w:cs="仿宋_GB2312"/>
          <w:color w:val="000000" w:themeColor="text1"/>
          <w:sz w:val="32"/>
          <w:szCs w:val="32"/>
          <w:shd w:val="clear" w:color="auto" w:fill="FFFFFF"/>
          <w14:textFill>
            <w14:solidFill>
              <w14:schemeClr w14:val="tx1"/>
            </w14:solidFill>
          </w14:textFill>
        </w:rPr>
      </w:pPr>
      <w:r>
        <w:rPr>
          <w:rFonts w:ascii="仿宋" w:hAnsi="仿宋" w:eastAsia="仿宋" w:cs="仿宋_GB2312"/>
          <w:color w:val="000000" w:themeColor="text1"/>
          <w:kern w:val="2"/>
          <w:sz w:val="32"/>
          <w:szCs w:val="32"/>
          <w:shd w:val="clear" w:color="auto" w:fill="FFFFFF"/>
          <w14:textFill>
            <w14:solidFill>
              <w14:schemeClr w14:val="tx1"/>
            </w14:solidFill>
          </w14:textFill>
        </w:rPr>
        <w:t>3.</w:t>
      </w:r>
      <w:r>
        <w:rPr>
          <w:rFonts w:hint="eastAsia" w:ascii="仿宋" w:hAnsi="仿宋" w:eastAsia="仿宋" w:cs="仿宋_GB2312"/>
          <w:color w:val="000000" w:themeColor="text1"/>
          <w:sz w:val="32"/>
          <w:szCs w:val="32"/>
          <w:shd w:val="clear" w:color="auto" w:fill="FFFFFF"/>
          <w14:textFill>
            <w14:solidFill>
              <w14:schemeClr w14:val="tx1"/>
            </w14:solidFill>
          </w14:textFill>
        </w:rPr>
        <w:t>交付方式：线上成品交付+全套源文件打包归档交付。</w:t>
      </w:r>
    </w:p>
    <w:p w14:paraId="7596EEB9">
      <w:pPr>
        <w:adjustRightInd w:val="0"/>
        <w:snapToGrid w:val="0"/>
        <w:ind w:firstLine="640" w:firstLineChars="200"/>
        <w:contextualSpacing/>
        <w:rPr>
          <w:rFonts w:ascii="仿宋" w:hAnsi="仿宋" w:eastAsia="仿宋" w:cs="仿宋_GB2312"/>
          <w:color w:val="000000" w:themeColor="text1"/>
          <w:sz w:val="32"/>
          <w:szCs w:val="32"/>
          <w:shd w:val="clear" w:color="auto" w:fill="FFFFFF"/>
          <w14:textFill>
            <w14:solidFill>
              <w14:schemeClr w14:val="tx1"/>
            </w14:solidFill>
          </w14:textFill>
        </w:rPr>
      </w:pPr>
      <w:r>
        <w:rPr>
          <w:rFonts w:hint="eastAsia" w:ascii="仿宋" w:hAnsi="仿宋" w:eastAsia="仿宋" w:cs="仿宋_GB2312"/>
          <w:color w:val="000000" w:themeColor="text1"/>
          <w:sz w:val="32"/>
          <w:szCs w:val="32"/>
          <w:shd w:val="clear" w:color="auto" w:fill="FFFFFF"/>
          <w14:textFill>
            <w14:solidFill>
              <w14:schemeClr w14:val="tx1"/>
            </w14:solidFill>
          </w14:textFill>
        </w:rPr>
        <w:t>（二）成果权属</w:t>
      </w:r>
    </w:p>
    <w:p w14:paraId="1B9AE3A0">
      <w:pPr>
        <w:adjustRightInd w:val="0"/>
        <w:snapToGrid w:val="0"/>
        <w:ind w:firstLine="640" w:firstLineChars="200"/>
        <w:contextualSpacing/>
        <w:rPr>
          <w:rFonts w:ascii="仿宋" w:hAnsi="仿宋" w:eastAsia="仿宋" w:cs="仿宋_GB2312"/>
          <w:color w:val="000000" w:themeColor="text1"/>
          <w:sz w:val="32"/>
          <w:szCs w:val="32"/>
          <w:shd w:val="clear" w:color="auto" w:fill="FFFFFF"/>
          <w14:textFill>
            <w14:solidFill>
              <w14:schemeClr w14:val="tx1"/>
            </w14:solidFill>
          </w14:textFill>
        </w:rPr>
      </w:pPr>
      <w:r>
        <w:rPr>
          <w:rFonts w:hint="eastAsia" w:ascii="仿宋" w:hAnsi="仿宋" w:eastAsia="仿宋" w:cs="仿宋_GB2312"/>
          <w:color w:val="000000" w:themeColor="text1"/>
          <w:sz w:val="32"/>
          <w:szCs w:val="32"/>
          <w:shd w:val="clear" w:color="auto" w:fill="FFFFFF"/>
          <w14:textFill>
            <w14:solidFill>
              <w14:schemeClr w14:val="tx1"/>
            </w14:solidFill>
          </w14:textFill>
        </w:rPr>
        <w:t>本项目所有展览成品、设计文件、图文资料的使用权、发布权全部归甲方所有，未经甲方许可，供应商不得擅自使用、转载、商用。</w:t>
      </w:r>
    </w:p>
    <w:p w14:paraId="00DA29B7">
      <w:pPr>
        <w:pStyle w:val="5"/>
        <w:shd w:val="clear" w:color="auto" w:fill="FFFFFF"/>
        <w:adjustRightInd w:val="0"/>
        <w:snapToGrid w:val="0"/>
        <w:spacing w:before="0" w:beforeAutospacing="0" w:after="0" w:afterAutospacing="0"/>
        <w:ind w:firstLine="640" w:firstLineChars="200"/>
        <w:contextualSpacing/>
        <w:jc w:val="both"/>
        <w:rPr>
          <w:rFonts w:ascii="仿宋" w:hAnsi="仿宋" w:eastAsia="仿宋" w:cs="仿宋_GB2312"/>
          <w:color w:val="000000" w:themeColor="text1"/>
          <w:kern w:val="2"/>
          <w:sz w:val="32"/>
          <w:szCs w:val="32"/>
          <w:shd w:val="clear" w:color="auto" w:fill="FFFFFF"/>
          <w14:textFill>
            <w14:solidFill>
              <w14:schemeClr w14:val="tx1"/>
            </w14:solidFill>
          </w14:textFill>
        </w:rPr>
      </w:pPr>
      <w:r>
        <w:rPr>
          <w:rFonts w:hint="eastAsia" w:ascii="仿宋" w:hAnsi="仿宋" w:eastAsia="仿宋" w:cs="仿宋_GB2312"/>
          <w:color w:val="000000" w:themeColor="text1"/>
          <w:kern w:val="2"/>
          <w:sz w:val="32"/>
          <w:szCs w:val="32"/>
          <w:shd w:val="clear" w:color="auto" w:fill="FFFFFF"/>
          <w14:textFill>
            <w14:solidFill>
              <w14:schemeClr w14:val="tx1"/>
            </w14:solidFill>
          </w14:textFill>
        </w:rPr>
        <w:t>（三）付款条件和付款方式。</w:t>
      </w:r>
    </w:p>
    <w:p w14:paraId="4C7F0E2C">
      <w:pPr>
        <w:adjustRightInd w:val="0"/>
        <w:snapToGrid w:val="0"/>
        <w:ind w:firstLine="640" w:firstLineChars="200"/>
        <w:contextualSpacing/>
        <w:rPr>
          <w:rFonts w:ascii="仿宋" w:hAnsi="仿宋" w:eastAsia="仿宋" w:cs="仿宋_GB2312"/>
          <w:color w:val="000000" w:themeColor="text1"/>
          <w:sz w:val="32"/>
          <w:szCs w:val="32"/>
          <w:shd w:val="clear" w:color="auto" w:fill="FFFFFF"/>
          <w14:textFill>
            <w14:solidFill>
              <w14:schemeClr w14:val="tx1"/>
            </w14:solidFill>
          </w14:textFill>
        </w:rPr>
      </w:pPr>
      <w:r>
        <w:rPr>
          <w:rFonts w:hint="eastAsia" w:ascii="仿宋" w:hAnsi="仿宋" w:eastAsia="仿宋" w:cs="仿宋_GB2312"/>
          <w:color w:val="000000" w:themeColor="text1"/>
          <w:sz w:val="32"/>
          <w:szCs w:val="32"/>
          <w:shd w:val="clear" w:color="auto" w:fill="FFFFFF"/>
          <w14:textFill>
            <w14:solidFill>
              <w14:schemeClr w14:val="tx1"/>
            </w14:solidFill>
          </w14:textFill>
        </w:rPr>
        <w:t>成交供应商在验收合格后30日内，经采购人确认无误后报账结算。凭以下有效文件原件由采购人支付货款：</w:t>
      </w:r>
    </w:p>
    <w:p w14:paraId="414F8CC5">
      <w:pPr>
        <w:adjustRightInd w:val="0"/>
        <w:snapToGrid w:val="0"/>
        <w:ind w:firstLine="640" w:firstLineChars="200"/>
        <w:contextualSpacing/>
        <w:rPr>
          <w:rFonts w:ascii="仿宋" w:hAnsi="仿宋" w:eastAsia="仿宋" w:cs="仿宋_GB2312"/>
          <w:color w:val="000000" w:themeColor="text1"/>
          <w:sz w:val="32"/>
          <w:szCs w:val="32"/>
          <w:shd w:val="clear" w:color="auto" w:fill="FFFFFF"/>
          <w14:textFill>
            <w14:solidFill>
              <w14:schemeClr w14:val="tx1"/>
            </w14:solidFill>
          </w14:textFill>
        </w:rPr>
      </w:pPr>
      <w:r>
        <w:rPr>
          <w:rFonts w:hint="eastAsia" w:ascii="仿宋" w:hAnsi="仿宋" w:eastAsia="仿宋" w:cs="仿宋_GB2312"/>
          <w:color w:val="000000" w:themeColor="text1"/>
          <w:sz w:val="32"/>
          <w:szCs w:val="32"/>
          <w:shd w:val="clear" w:color="auto" w:fill="FFFFFF"/>
          <w14:textFill>
            <w14:solidFill>
              <w14:schemeClr w14:val="tx1"/>
            </w14:solidFill>
          </w14:textFill>
        </w:rPr>
        <w:t>1.合同；2.与服务相应金额的正式发票。</w:t>
      </w:r>
    </w:p>
    <w:p w14:paraId="23D83E41">
      <w:pPr>
        <w:adjustRightInd w:val="0"/>
        <w:snapToGrid w:val="0"/>
        <w:contextualSpacing/>
        <w:rPr>
          <w:rFonts w:ascii="仿宋" w:hAnsi="仿宋" w:eastAsia="仿宋" w:cs="仿宋_GB2312"/>
          <w:b/>
          <w:color w:val="000000" w:themeColor="text1"/>
          <w:sz w:val="32"/>
          <w:szCs w:val="32"/>
          <w:shd w:val="clear" w:color="auto" w:fill="FFFFFF"/>
          <w14:textFill>
            <w14:solidFill>
              <w14:schemeClr w14:val="tx1"/>
            </w14:solidFill>
          </w14:textFill>
        </w:rPr>
      </w:pPr>
      <w:r>
        <w:rPr>
          <w:rFonts w:hint="eastAsia" w:ascii="仿宋" w:hAnsi="仿宋" w:eastAsia="仿宋" w:cs="仿宋_GB2312"/>
          <w:b/>
          <w:color w:val="000000" w:themeColor="text1"/>
          <w:sz w:val="32"/>
          <w:szCs w:val="32"/>
          <w:shd w:val="clear" w:color="auto" w:fill="FFFFFF"/>
          <w14:textFill>
            <w14:solidFill>
              <w14:schemeClr w14:val="tx1"/>
            </w14:solidFill>
          </w14:textFill>
        </w:rPr>
        <w:t>十一、报价要求及方式</w:t>
      </w:r>
    </w:p>
    <w:p w14:paraId="39D9118A">
      <w:pPr>
        <w:adjustRightInd w:val="0"/>
        <w:snapToGrid w:val="0"/>
        <w:ind w:firstLine="640" w:firstLineChars="200"/>
        <w:contextualSpacing/>
        <w:rPr>
          <w:rFonts w:ascii="仿宋" w:hAnsi="仿宋" w:eastAsia="仿宋" w:cs="仿宋_GB2312"/>
          <w:color w:val="000000" w:themeColor="text1"/>
          <w:sz w:val="32"/>
          <w:szCs w:val="32"/>
          <w:shd w:val="clear" w:color="auto" w:fill="FFFFFF"/>
          <w14:textFill>
            <w14:solidFill>
              <w14:schemeClr w14:val="tx1"/>
            </w14:solidFill>
          </w14:textFill>
        </w:rPr>
      </w:pPr>
      <w:r>
        <w:rPr>
          <w:rFonts w:hint="eastAsia" w:ascii="仿宋" w:hAnsi="仿宋" w:eastAsia="仿宋" w:cs="仿宋_GB2312"/>
          <w:color w:val="000000" w:themeColor="text1"/>
          <w:sz w:val="32"/>
          <w:szCs w:val="32"/>
          <w:shd w:val="clear" w:color="auto" w:fill="FFFFFF"/>
          <w14:textFill>
            <w14:solidFill>
              <w14:schemeClr w14:val="tx1"/>
            </w14:solidFill>
          </w14:textFill>
        </w:rPr>
        <w:t>（一）有意参加本次比选的公司，请于202</w:t>
      </w:r>
      <w:r>
        <w:rPr>
          <w:rFonts w:ascii="仿宋" w:hAnsi="仿宋" w:eastAsia="仿宋" w:cs="仿宋_GB2312"/>
          <w:color w:val="000000" w:themeColor="text1"/>
          <w:sz w:val="32"/>
          <w:szCs w:val="32"/>
          <w:shd w:val="clear" w:color="auto" w:fill="FFFFFF"/>
          <w14:textFill>
            <w14:solidFill>
              <w14:schemeClr w14:val="tx1"/>
            </w14:solidFill>
          </w14:textFill>
        </w:rPr>
        <w:t>6</w:t>
      </w:r>
      <w:r>
        <w:rPr>
          <w:rFonts w:hint="eastAsia" w:ascii="仿宋" w:hAnsi="仿宋" w:eastAsia="仿宋" w:cs="仿宋_GB2312"/>
          <w:color w:val="000000" w:themeColor="text1"/>
          <w:sz w:val="32"/>
          <w:szCs w:val="32"/>
          <w:shd w:val="clear" w:color="auto" w:fill="FFFFFF"/>
          <w14:textFill>
            <w14:solidFill>
              <w14:schemeClr w14:val="tx1"/>
            </w14:solidFill>
          </w14:textFill>
        </w:rPr>
        <w:t>年7月3日下午1</w:t>
      </w:r>
      <w:r>
        <w:rPr>
          <w:rFonts w:ascii="仿宋" w:hAnsi="仿宋" w:eastAsia="仿宋" w:cs="仿宋_GB2312"/>
          <w:color w:val="000000" w:themeColor="text1"/>
          <w:sz w:val="32"/>
          <w:szCs w:val="32"/>
          <w:shd w:val="clear" w:color="auto" w:fill="FFFFFF"/>
          <w14:textFill>
            <w14:solidFill>
              <w14:schemeClr w14:val="tx1"/>
            </w14:solidFill>
          </w14:textFill>
        </w:rPr>
        <w:t>8</w:t>
      </w:r>
      <w:r>
        <w:rPr>
          <w:rFonts w:hint="eastAsia" w:ascii="仿宋" w:hAnsi="仿宋" w:eastAsia="仿宋" w:cs="仿宋_GB2312"/>
          <w:color w:val="000000" w:themeColor="text1"/>
          <w:sz w:val="32"/>
          <w:szCs w:val="32"/>
          <w:shd w:val="clear" w:color="auto" w:fill="FFFFFF"/>
          <w14:textFill>
            <w14:solidFill>
              <w14:schemeClr w14:val="tx1"/>
            </w14:solidFill>
          </w14:textFill>
        </w:rPr>
        <w:t>:00前向我单位提交纸质比选响应文件 (报价材料一式两份，用文件袋封装，上下封口处加盖公司骑缝章)。地址：宁德市东侨经济技术开发区华庭路1号宁德市图书馆，联系人：吴老师；联系电话：0593-2716189。</w:t>
      </w:r>
    </w:p>
    <w:p w14:paraId="5782B160">
      <w:pPr>
        <w:adjustRightInd w:val="0"/>
        <w:snapToGrid w:val="0"/>
        <w:ind w:firstLine="640" w:firstLineChars="200"/>
        <w:contextualSpacing/>
        <w:rPr>
          <w:rFonts w:ascii="仿宋" w:hAnsi="仿宋" w:eastAsia="仿宋" w:cs="仿宋_GB2312"/>
          <w:color w:val="000000" w:themeColor="text1"/>
          <w:sz w:val="32"/>
          <w:szCs w:val="32"/>
          <w:shd w:val="clear" w:color="auto" w:fill="FFFFFF"/>
          <w14:textFill>
            <w14:solidFill>
              <w14:schemeClr w14:val="tx1"/>
            </w14:solidFill>
          </w14:textFill>
        </w:rPr>
      </w:pPr>
      <w:r>
        <w:rPr>
          <w:rFonts w:hint="eastAsia" w:ascii="仿宋" w:hAnsi="仿宋" w:eastAsia="仿宋" w:cs="仿宋_GB2312"/>
          <w:color w:val="000000" w:themeColor="text1"/>
          <w:sz w:val="32"/>
          <w:szCs w:val="32"/>
          <w:shd w:val="clear" w:color="auto" w:fill="FFFFFF"/>
          <w14:textFill>
            <w14:solidFill>
              <w14:schemeClr w14:val="tx1"/>
            </w14:solidFill>
          </w14:textFill>
        </w:rPr>
        <w:t>（二）响应文件应包含：</w:t>
      </w:r>
    </w:p>
    <w:p w14:paraId="4BDB8C56">
      <w:pPr>
        <w:adjustRightInd w:val="0"/>
        <w:snapToGrid w:val="0"/>
        <w:ind w:firstLine="640" w:firstLineChars="200"/>
        <w:contextualSpacing/>
        <w:rPr>
          <w:rFonts w:ascii="仿宋" w:hAnsi="仿宋" w:eastAsia="仿宋" w:cs="仿宋_GB2312"/>
          <w:color w:val="000000" w:themeColor="text1"/>
          <w:sz w:val="32"/>
          <w:szCs w:val="32"/>
          <w:shd w:val="clear" w:color="auto" w:fill="FFFFFF"/>
          <w14:textFill>
            <w14:solidFill>
              <w14:schemeClr w14:val="tx1"/>
            </w14:solidFill>
          </w14:textFill>
        </w:rPr>
      </w:pPr>
      <w:r>
        <w:rPr>
          <w:rFonts w:hint="eastAsia" w:ascii="仿宋" w:hAnsi="仿宋" w:eastAsia="仿宋" w:cs="仿宋_GB2312"/>
          <w:color w:val="000000" w:themeColor="text1"/>
          <w:sz w:val="32"/>
          <w:szCs w:val="32"/>
          <w:shd w:val="clear" w:color="auto" w:fill="FFFFFF"/>
          <w14:textFill>
            <w14:solidFill>
              <w14:schemeClr w14:val="tx1"/>
            </w14:solidFill>
          </w14:textFill>
        </w:rPr>
        <w:t>本项目响应文件正本一份、副本两份，须加盖单位公章，副本可采用正本的复印件。</w:t>
      </w:r>
    </w:p>
    <w:p w14:paraId="40A39EA0">
      <w:pPr>
        <w:adjustRightInd w:val="0"/>
        <w:snapToGrid w:val="0"/>
        <w:ind w:firstLine="640" w:firstLineChars="200"/>
        <w:contextualSpacing/>
        <w:rPr>
          <w:rFonts w:ascii="仿宋" w:hAnsi="仿宋" w:eastAsia="仿宋" w:cs="仿宋_GB2312"/>
          <w:color w:val="000000" w:themeColor="text1"/>
          <w:sz w:val="32"/>
          <w:szCs w:val="32"/>
          <w:shd w:val="clear" w:color="auto" w:fill="FFFFFF"/>
          <w14:textFill>
            <w14:solidFill>
              <w14:schemeClr w14:val="tx1"/>
            </w14:solidFill>
          </w14:textFill>
        </w:rPr>
      </w:pPr>
      <w:r>
        <w:rPr>
          <w:rFonts w:hint="eastAsia" w:ascii="仿宋" w:hAnsi="仿宋" w:eastAsia="仿宋" w:cs="仿宋_GB2312"/>
          <w:color w:val="000000" w:themeColor="text1"/>
          <w:sz w:val="32"/>
          <w:szCs w:val="32"/>
          <w:shd w:val="clear" w:color="auto" w:fill="FFFFFF"/>
          <w14:textFill>
            <w14:solidFill>
              <w14:schemeClr w14:val="tx1"/>
            </w14:solidFill>
          </w14:textFill>
        </w:rPr>
        <w:t>1.资格审查文件（供应商符合“九、供应商资格”的证明材料）；</w:t>
      </w:r>
    </w:p>
    <w:p w14:paraId="600942BB">
      <w:pPr>
        <w:adjustRightInd w:val="0"/>
        <w:snapToGrid w:val="0"/>
        <w:ind w:firstLine="640" w:firstLineChars="200"/>
        <w:contextualSpacing/>
        <w:rPr>
          <w:rFonts w:ascii="仿宋" w:hAnsi="仿宋" w:eastAsia="仿宋" w:cs="仿宋_GB2312"/>
          <w:color w:val="000000" w:themeColor="text1"/>
          <w:sz w:val="32"/>
          <w:szCs w:val="32"/>
          <w:shd w:val="clear" w:color="auto" w:fill="FFFFFF"/>
          <w14:textFill>
            <w14:solidFill>
              <w14:schemeClr w14:val="tx1"/>
            </w14:solidFill>
          </w14:textFill>
        </w:rPr>
      </w:pPr>
      <w:r>
        <w:rPr>
          <w:rFonts w:hint="eastAsia" w:ascii="仿宋" w:hAnsi="仿宋" w:eastAsia="仿宋" w:cs="仿宋_GB2312"/>
          <w:color w:val="000000" w:themeColor="text1"/>
          <w:sz w:val="32"/>
          <w:szCs w:val="32"/>
          <w:shd w:val="clear" w:color="auto" w:fill="FFFFFF"/>
          <w14:textFill>
            <w14:solidFill>
              <w14:schemeClr w14:val="tx1"/>
            </w14:solidFill>
          </w14:textFill>
        </w:rPr>
        <w:t>2.服务方案；</w:t>
      </w:r>
    </w:p>
    <w:p w14:paraId="5E51DB45">
      <w:pPr>
        <w:adjustRightInd w:val="0"/>
        <w:snapToGrid w:val="0"/>
        <w:ind w:firstLine="640" w:firstLineChars="200"/>
        <w:contextualSpacing/>
        <w:rPr>
          <w:rFonts w:ascii="仿宋" w:hAnsi="仿宋" w:eastAsia="仿宋" w:cs="仿宋_GB2312"/>
          <w:color w:val="000000" w:themeColor="text1"/>
          <w:sz w:val="32"/>
          <w:szCs w:val="32"/>
          <w:shd w:val="clear" w:color="auto" w:fill="FFFFFF"/>
          <w14:textFill>
            <w14:solidFill>
              <w14:schemeClr w14:val="tx1"/>
            </w14:solidFill>
          </w14:textFill>
        </w:rPr>
      </w:pPr>
      <w:r>
        <w:rPr>
          <w:rFonts w:hint="eastAsia" w:ascii="仿宋" w:hAnsi="仿宋" w:eastAsia="仿宋" w:cs="仿宋_GB2312"/>
          <w:color w:val="000000" w:themeColor="text1"/>
          <w:sz w:val="32"/>
          <w:szCs w:val="32"/>
          <w:shd w:val="clear" w:color="auto" w:fill="FFFFFF"/>
          <w14:textFill>
            <w14:solidFill>
              <w14:schemeClr w14:val="tx1"/>
            </w14:solidFill>
          </w14:textFill>
        </w:rPr>
        <w:t>3.报价（含税）。</w:t>
      </w:r>
    </w:p>
    <w:p w14:paraId="0555D005">
      <w:pPr>
        <w:adjustRightInd w:val="0"/>
        <w:snapToGrid w:val="0"/>
        <w:contextualSpacing/>
        <w:rPr>
          <w:rFonts w:ascii="仿宋" w:hAnsi="仿宋" w:eastAsia="仿宋" w:cs="仿宋_GB2312"/>
          <w:b/>
          <w:color w:val="000000" w:themeColor="text1"/>
          <w:sz w:val="32"/>
          <w:szCs w:val="32"/>
          <w:shd w:val="clear" w:color="auto" w:fill="FFFFFF"/>
          <w14:textFill>
            <w14:solidFill>
              <w14:schemeClr w14:val="tx1"/>
            </w14:solidFill>
          </w14:textFill>
        </w:rPr>
      </w:pPr>
      <w:r>
        <w:rPr>
          <w:rFonts w:hint="eastAsia" w:ascii="仿宋" w:hAnsi="仿宋" w:eastAsia="仿宋" w:cs="仿宋_GB2312"/>
          <w:b/>
          <w:color w:val="000000" w:themeColor="text1"/>
          <w:sz w:val="32"/>
          <w:szCs w:val="32"/>
          <w:shd w:val="clear" w:color="auto" w:fill="FFFFFF"/>
          <w14:textFill>
            <w14:solidFill>
              <w14:schemeClr w14:val="tx1"/>
            </w14:solidFill>
          </w14:textFill>
        </w:rPr>
        <w:t>十二、评审办法</w:t>
      </w:r>
    </w:p>
    <w:p w14:paraId="4819FD26">
      <w:pPr>
        <w:adjustRightInd w:val="0"/>
        <w:snapToGrid w:val="0"/>
        <w:ind w:firstLine="640" w:firstLineChars="200"/>
        <w:contextualSpacing/>
        <w:rPr>
          <w:rFonts w:ascii="仿宋" w:hAnsi="仿宋" w:eastAsia="仿宋" w:cs="仿宋_GB2312"/>
          <w:color w:val="000000" w:themeColor="text1"/>
          <w:sz w:val="32"/>
          <w:szCs w:val="32"/>
          <w:shd w:val="clear" w:color="auto" w:fill="FFFFFF"/>
          <w14:textFill>
            <w14:solidFill>
              <w14:schemeClr w14:val="tx1"/>
            </w14:solidFill>
          </w14:textFill>
        </w:rPr>
      </w:pPr>
      <w:r>
        <w:rPr>
          <w:rFonts w:hint="eastAsia" w:ascii="仿宋" w:hAnsi="仿宋" w:eastAsia="仿宋" w:cs="仿宋_GB2312"/>
          <w:color w:val="000000" w:themeColor="text1"/>
          <w:sz w:val="32"/>
          <w:szCs w:val="32"/>
          <w:shd w:val="clear" w:color="auto" w:fill="FFFFFF"/>
          <w14:textFill>
            <w14:solidFill>
              <w14:schemeClr w14:val="tx1"/>
            </w14:solidFill>
          </w14:textFill>
        </w:rPr>
        <w:t>（一）资格预审。我单位组成比选小组，按要求对参与报价的供应商进行资格预审。主要对其提交的有关资格证明文件，包括基本资格审查和专业资格审查等进行审查。</w:t>
      </w:r>
    </w:p>
    <w:p w14:paraId="2F9A4AB1">
      <w:pPr>
        <w:adjustRightInd w:val="0"/>
        <w:snapToGrid w:val="0"/>
        <w:ind w:firstLine="640" w:firstLineChars="200"/>
        <w:contextualSpacing/>
        <w:rPr>
          <w:rFonts w:ascii="仿宋" w:hAnsi="仿宋" w:eastAsia="仿宋" w:cs="仿宋_GB2312"/>
          <w:color w:val="000000" w:themeColor="text1"/>
          <w:sz w:val="32"/>
          <w:szCs w:val="32"/>
          <w:shd w:val="clear" w:color="auto" w:fill="FFFFFF"/>
          <w14:textFill>
            <w14:solidFill>
              <w14:schemeClr w14:val="tx1"/>
            </w14:solidFill>
          </w14:textFill>
        </w:rPr>
      </w:pPr>
      <w:r>
        <w:rPr>
          <w:rFonts w:hint="eastAsia" w:ascii="仿宋" w:hAnsi="仿宋" w:eastAsia="仿宋" w:cs="仿宋_GB2312"/>
          <w:color w:val="000000" w:themeColor="text1"/>
          <w:sz w:val="32"/>
          <w:szCs w:val="32"/>
          <w:shd w:val="clear" w:color="auto" w:fill="FFFFFF"/>
          <w14:textFill>
            <w14:solidFill>
              <w14:schemeClr w14:val="tx1"/>
            </w14:solidFill>
          </w14:textFill>
        </w:rPr>
        <w:t>（二）在符合采购需求、质量和服务相等的前提下，我单位组织的比选小组将以</w:t>
      </w:r>
      <w:r>
        <w:rPr>
          <w:rFonts w:hint="eastAsia" w:ascii="仿宋" w:hAnsi="仿宋" w:eastAsia="仿宋" w:cs="仿宋_GB2312"/>
          <w:b/>
          <w:color w:val="000000" w:themeColor="text1"/>
          <w:sz w:val="32"/>
          <w:szCs w:val="32"/>
          <w:shd w:val="clear" w:color="auto" w:fill="FFFFFF"/>
          <w14:textFill>
            <w14:solidFill>
              <w14:schemeClr w14:val="tx1"/>
            </w14:solidFill>
          </w14:textFill>
        </w:rPr>
        <w:t>最低报价</w:t>
      </w:r>
      <w:r>
        <w:rPr>
          <w:rFonts w:hint="eastAsia" w:ascii="仿宋" w:hAnsi="仿宋" w:eastAsia="仿宋" w:cs="仿宋_GB2312"/>
          <w:color w:val="000000" w:themeColor="text1"/>
          <w:sz w:val="32"/>
          <w:szCs w:val="32"/>
          <w:shd w:val="clear" w:color="auto" w:fill="FFFFFF"/>
          <w14:textFill>
            <w14:solidFill>
              <w14:schemeClr w14:val="tx1"/>
            </w14:solidFill>
          </w14:textFill>
        </w:rPr>
        <w:t>的供应商作为成交供应商。</w:t>
      </w:r>
    </w:p>
    <w:p w14:paraId="637E65BF">
      <w:pPr>
        <w:adjustRightInd w:val="0"/>
        <w:snapToGrid w:val="0"/>
        <w:contextualSpacing/>
        <w:rPr>
          <w:rFonts w:ascii="仿宋" w:hAnsi="仿宋" w:eastAsia="仿宋" w:cs="仿宋_GB2312"/>
          <w:b/>
          <w:bCs/>
          <w:color w:val="000000" w:themeColor="text1"/>
          <w:sz w:val="32"/>
          <w:szCs w:val="32"/>
          <w:shd w:val="clear" w:color="auto" w:fill="FFFFFF"/>
          <w14:textFill>
            <w14:solidFill>
              <w14:schemeClr w14:val="tx1"/>
            </w14:solidFill>
          </w14:textFill>
        </w:rPr>
      </w:pPr>
      <w:r>
        <w:rPr>
          <w:rFonts w:hint="eastAsia" w:ascii="仿宋" w:hAnsi="仿宋" w:eastAsia="仿宋" w:cs="仿宋_GB2312"/>
          <w:b/>
          <w:bCs/>
          <w:color w:val="000000" w:themeColor="text1"/>
          <w:sz w:val="32"/>
          <w:szCs w:val="32"/>
          <w:shd w:val="clear" w:color="auto" w:fill="FFFFFF"/>
          <w14:textFill>
            <w14:solidFill>
              <w14:schemeClr w14:val="tx1"/>
            </w14:solidFill>
          </w14:textFill>
        </w:rPr>
        <w:t>十三、报价文件格式</w:t>
      </w:r>
    </w:p>
    <w:p w14:paraId="4050CB54">
      <w:pPr>
        <w:autoSpaceDE w:val="0"/>
        <w:autoSpaceDN w:val="0"/>
        <w:spacing w:line="640" w:lineRule="exact"/>
        <w:rPr>
          <w:rFonts w:ascii="宋体" w:hAnsi="宋体" w:eastAsia="宋体" w:cs="Times New Roman"/>
          <w:sz w:val="24"/>
          <w:szCs w:val="24"/>
          <w:lang w:val="zh-CN"/>
        </w:rPr>
      </w:pPr>
      <w:r>
        <w:rPr>
          <w:rFonts w:ascii="仿宋" w:hAnsi="仿宋" w:eastAsia="仿宋" w:cs="仿宋_GB2312"/>
          <w:b/>
          <w:color w:val="000000" w:themeColor="text1"/>
          <w:sz w:val="32"/>
          <w:szCs w:val="32"/>
          <w:shd w:val="clear" w:color="auto" w:fill="FFFFFF"/>
          <w14:textFill>
            <w14:solidFill>
              <w14:schemeClr w14:val="tx1"/>
            </w14:solidFill>
          </w14:textFill>
        </w:rPr>
        <w:br w:type="page"/>
      </w:r>
      <w:r>
        <w:rPr>
          <w:rFonts w:hint="eastAsia" w:ascii="宋体" w:hAnsi="宋体" w:eastAsia="宋体" w:cs="Times New Roman"/>
          <w:sz w:val="24"/>
          <w:szCs w:val="24"/>
          <w:lang w:val="zh-CN"/>
        </w:rPr>
        <w:t>附件1：</w:t>
      </w:r>
    </w:p>
    <w:p w14:paraId="0A90E581">
      <w:pPr>
        <w:autoSpaceDE w:val="0"/>
        <w:autoSpaceDN w:val="0"/>
        <w:spacing w:line="640" w:lineRule="exact"/>
        <w:ind w:firstLine="480" w:firstLineChars="200"/>
        <w:jc w:val="center"/>
        <w:rPr>
          <w:rFonts w:ascii="宋体" w:hAnsi="宋体" w:eastAsia="宋体" w:cs="Times New Roman"/>
          <w:sz w:val="24"/>
          <w:szCs w:val="24"/>
          <w:lang w:val="zh-CN"/>
        </w:rPr>
      </w:pPr>
      <w:r>
        <w:rPr>
          <w:rFonts w:hint="eastAsia" w:ascii="宋体" w:hAnsi="宋体" w:eastAsia="宋体" w:cs="Times New Roman"/>
          <w:sz w:val="24"/>
          <w:szCs w:val="24"/>
          <w:lang w:val="zh-CN"/>
        </w:rPr>
        <w:t>报价一览表</w:t>
      </w:r>
    </w:p>
    <w:p w14:paraId="6CF34CA1">
      <w:pPr>
        <w:autoSpaceDE w:val="0"/>
        <w:autoSpaceDN w:val="0"/>
        <w:spacing w:after="240"/>
        <w:rPr>
          <w:rFonts w:ascii="宋体" w:hAnsi="宋体" w:eastAsia="宋体" w:cs="Times New Roman"/>
          <w:sz w:val="24"/>
          <w:szCs w:val="24"/>
          <w:lang w:val="zh-CN"/>
        </w:rPr>
      </w:pPr>
    </w:p>
    <w:tbl>
      <w:tblPr>
        <w:tblStyle w:val="6"/>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4"/>
        <w:gridCol w:w="6496"/>
      </w:tblGrid>
      <w:tr w14:paraId="3215B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2544" w:type="dxa"/>
            <w:vAlign w:val="center"/>
          </w:tcPr>
          <w:p w14:paraId="37FC9DA9">
            <w:pPr>
              <w:autoSpaceDE w:val="0"/>
              <w:autoSpaceDN w:val="0"/>
              <w:jc w:val="center"/>
              <w:rPr>
                <w:rFonts w:ascii="宋体" w:hAnsi="宋体" w:eastAsia="宋体" w:cs="Times New Roman"/>
                <w:sz w:val="24"/>
                <w:szCs w:val="24"/>
                <w:lang w:val="zh-CN"/>
              </w:rPr>
            </w:pPr>
            <w:r>
              <w:rPr>
                <w:rFonts w:hint="eastAsia" w:ascii="宋体" w:hAnsi="宋体" w:eastAsia="宋体" w:cs="Times New Roman"/>
                <w:sz w:val="24"/>
                <w:szCs w:val="24"/>
                <w:lang w:val="zh-CN"/>
              </w:rPr>
              <w:t>项目名称</w:t>
            </w:r>
          </w:p>
        </w:tc>
        <w:tc>
          <w:tcPr>
            <w:tcW w:w="6496" w:type="dxa"/>
            <w:vAlign w:val="center"/>
          </w:tcPr>
          <w:p w14:paraId="679B61CD">
            <w:pPr>
              <w:autoSpaceDE w:val="0"/>
              <w:autoSpaceDN w:val="0"/>
              <w:jc w:val="center"/>
              <w:rPr>
                <w:rFonts w:ascii="宋体" w:hAnsi="宋体" w:eastAsia="宋体" w:cs="Times New Roman"/>
                <w:szCs w:val="24"/>
                <w:lang w:val="zh-CN"/>
              </w:rPr>
            </w:pPr>
            <w:r>
              <w:rPr>
                <w:rFonts w:hint="eastAsia" w:ascii="宋体" w:hAnsi="宋体" w:eastAsia="宋体" w:cs="Times New Roman"/>
                <w:kern w:val="44"/>
                <w:sz w:val="24"/>
                <w:szCs w:val="24"/>
              </w:rPr>
              <w:t>宁德市图书馆2026年线上展览活动项目</w:t>
            </w:r>
          </w:p>
        </w:tc>
      </w:tr>
      <w:tr w14:paraId="7C450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2544" w:type="dxa"/>
            <w:vAlign w:val="center"/>
          </w:tcPr>
          <w:p w14:paraId="6A71A87E">
            <w:pPr>
              <w:autoSpaceDE w:val="0"/>
              <w:autoSpaceDN w:val="0"/>
              <w:jc w:val="center"/>
              <w:rPr>
                <w:rFonts w:ascii="宋体" w:hAnsi="宋体" w:eastAsia="宋体" w:cs="Times New Roman"/>
                <w:sz w:val="24"/>
                <w:szCs w:val="24"/>
              </w:rPr>
            </w:pPr>
            <w:r>
              <w:rPr>
                <w:rFonts w:hint="eastAsia" w:ascii="宋体" w:hAnsi="宋体" w:eastAsia="宋体" w:cs="Times New Roman"/>
                <w:sz w:val="24"/>
                <w:szCs w:val="24"/>
                <w:lang w:val="zh-CN"/>
              </w:rPr>
              <w:t>投标总报价</w:t>
            </w:r>
          </w:p>
        </w:tc>
        <w:tc>
          <w:tcPr>
            <w:tcW w:w="6496" w:type="dxa"/>
            <w:vAlign w:val="center"/>
          </w:tcPr>
          <w:p w14:paraId="401F2F7A">
            <w:pPr>
              <w:autoSpaceDE w:val="0"/>
              <w:autoSpaceDN w:val="0"/>
              <w:ind w:firstLine="240" w:firstLineChars="100"/>
              <w:rPr>
                <w:rFonts w:ascii="宋体" w:hAnsi="宋体" w:eastAsia="宋体" w:cs="Times New Roman"/>
                <w:sz w:val="24"/>
                <w:szCs w:val="24"/>
              </w:rPr>
            </w:pPr>
            <w:r>
              <w:rPr>
                <w:rFonts w:hint="eastAsia" w:ascii="宋体" w:hAnsi="宋体" w:eastAsia="宋体" w:cs="Times New Roman"/>
                <w:sz w:val="24"/>
                <w:szCs w:val="24"/>
              </w:rPr>
              <w:t>小写：</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（元），大写：</w:t>
            </w:r>
            <w:r>
              <w:rPr>
                <w:rFonts w:hint="eastAsia" w:ascii="宋体" w:hAnsi="宋体" w:eastAsia="宋体" w:cs="Times New Roman"/>
                <w:sz w:val="24"/>
                <w:szCs w:val="24"/>
                <w:u w:val="single"/>
              </w:rPr>
              <w:t xml:space="preserve">                </w:t>
            </w:r>
          </w:p>
        </w:tc>
      </w:tr>
    </w:tbl>
    <w:p w14:paraId="18BE2AF6">
      <w:pPr>
        <w:autoSpaceDE w:val="0"/>
        <w:autoSpaceDN w:val="0"/>
        <w:jc w:val="center"/>
        <w:rPr>
          <w:rFonts w:ascii="宋体" w:hAnsi="宋体" w:eastAsia="宋体" w:cs="Times New Roman"/>
          <w:sz w:val="24"/>
          <w:szCs w:val="24"/>
        </w:rPr>
      </w:pPr>
    </w:p>
    <w:p w14:paraId="7F4EDC81">
      <w:pPr>
        <w:autoSpaceDE w:val="0"/>
        <w:autoSpaceDN w:val="0"/>
        <w:jc w:val="center"/>
        <w:rPr>
          <w:rFonts w:ascii="宋体" w:hAnsi="宋体" w:eastAsia="宋体" w:cs="Times New Roman"/>
          <w:sz w:val="24"/>
          <w:szCs w:val="24"/>
        </w:rPr>
      </w:pPr>
    </w:p>
    <w:p w14:paraId="4A082060">
      <w:pPr>
        <w:autoSpaceDE w:val="0"/>
        <w:autoSpaceDN w:val="0"/>
        <w:ind w:firstLine="120" w:firstLineChars="50"/>
        <w:rPr>
          <w:rFonts w:ascii="宋体" w:hAnsi="宋体" w:eastAsia="宋体" w:cs="Times New Roman"/>
          <w:sz w:val="24"/>
          <w:szCs w:val="24"/>
          <w:lang w:val="zh-CN"/>
        </w:rPr>
      </w:pPr>
      <w:r>
        <w:rPr>
          <w:rFonts w:hint="eastAsia" w:ascii="宋体" w:hAnsi="宋体" w:eastAsia="宋体" w:cs="Times New Roman"/>
          <w:sz w:val="24"/>
          <w:szCs w:val="24"/>
          <w:lang w:val="zh-CN"/>
        </w:rPr>
        <w:t>投标人名称（公章）：</w:t>
      </w:r>
    </w:p>
    <w:p w14:paraId="30DC7528">
      <w:pPr>
        <w:autoSpaceDE w:val="0"/>
        <w:autoSpaceDN w:val="0"/>
        <w:rPr>
          <w:rFonts w:ascii="宋体" w:hAnsi="宋体" w:eastAsia="宋体" w:cs="Times New Roman"/>
          <w:sz w:val="24"/>
          <w:szCs w:val="24"/>
          <w:lang w:val="zh-CN"/>
        </w:rPr>
      </w:pPr>
    </w:p>
    <w:p w14:paraId="118C254F">
      <w:pPr>
        <w:autoSpaceDE w:val="0"/>
        <w:autoSpaceDN w:val="0"/>
        <w:ind w:firstLine="120" w:firstLineChars="50"/>
        <w:rPr>
          <w:rFonts w:ascii="宋体" w:hAnsi="宋体" w:eastAsia="宋体" w:cs="Times New Roman"/>
          <w:sz w:val="24"/>
          <w:szCs w:val="24"/>
          <w:lang w:val="zh-CN"/>
        </w:rPr>
      </w:pPr>
      <w:r>
        <w:rPr>
          <w:rFonts w:hint="eastAsia" w:ascii="宋体" w:hAnsi="宋体" w:eastAsia="宋体" w:cs="Times New Roman"/>
          <w:sz w:val="24"/>
          <w:szCs w:val="24"/>
          <w:lang w:val="zh-CN"/>
        </w:rPr>
        <w:t xml:space="preserve">法定代表人或其授权代表（签字或盖章）：   </w:t>
      </w:r>
    </w:p>
    <w:p w14:paraId="2EBADA15">
      <w:pPr>
        <w:autoSpaceDE w:val="0"/>
        <w:autoSpaceDN w:val="0"/>
        <w:spacing w:before="295" w:after="295"/>
        <w:ind w:firstLine="120" w:firstLineChars="50"/>
        <w:rPr>
          <w:rFonts w:ascii="宋体" w:hAnsi="宋体" w:eastAsia="宋体" w:cs="Times New Roman"/>
          <w:sz w:val="24"/>
          <w:szCs w:val="24"/>
          <w:lang w:val="zh-CN"/>
        </w:rPr>
      </w:pPr>
      <w:r>
        <w:rPr>
          <w:rFonts w:hint="eastAsia" w:ascii="宋体" w:hAnsi="宋体" w:eastAsia="宋体" w:cs="Times New Roman"/>
          <w:sz w:val="24"/>
          <w:szCs w:val="24"/>
          <w:lang w:val="zh-CN"/>
        </w:rPr>
        <w:t>日期：</w:t>
      </w:r>
      <w:r>
        <w:rPr>
          <w:rFonts w:hint="eastAsia" w:ascii="宋体" w:hAnsi="宋体" w:eastAsia="宋体" w:cs="Times New Roman"/>
          <w:sz w:val="24"/>
          <w:szCs w:val="24"/>
          <w:u w:val="single"/>
          <w:lang w:val="zh-CN"/>
        </w:rPr>
        <w:t xml:space="preserve">        </w:t>
      </w:r>
      <w:r>
        <w:rPr>
          <w:rFonts w:hint="eastAsia" w:ascii="宋体" w:hAnsi="宋体" w:eastAsia="宋体" w:cs="Times New Roman"/>
          <w:sz w:val="24"/>
          <w:szCs w:val="24"/>
          <w:lang w:val="zh-CN"/>
        </w:rPr>
        <w:t>年</w:t>
      </w:r>
      <w:r>
        <w:rPr>
          <w:rFonts w:hint="eastAsia" w:ascii="宋体" w:hAnsi="宋体" w:eastAsia="宋体" w:cs="Times New Roman"/>
          <w:sz w:val="24"/>
          <w:szCs w:val="24"/>
          <w:u w:val="single"/>
          <w:lang w:val="zh-CN"/>
        </w:rPr>
        <w:t xml:space="preserve">  </w:t>
      </w:r>
      <w:r>
        <w:rPr>
          <w:rFonts w:ascii="宋体" w:hAnsi="宋体" w:eastAsia="宋体" w:cs="Times New Roman"/>
          <w:sz w:val="24"/>
          <w:szCs w:val="24"/>
          <w:u w:val="single"/>
          <w:lang w:val="zh-CN"/>
        </w:rPr>
        <w:t xml:space="preserve"> </w:t>
      </w:r>
      <w:r>
        <w:rPr>
          <w:rFonts w:hint="eastAsia" w:ascii="宋体" w:hAnsi="宋体" w:eastAsia="宋体" w:cs="Times New Roman"/>
          <w:sz w:val="24"/>
          <w:szCs w:val="24"/>
          <w:u w:val="single"/>
          <w:lang w:val="zh-CN"/>
        </w:rPr>
        <w:t xml:space="preserve">  </w:t>
      </w:r>
      <w:r>
        <w:rPr>
          <w:rFonts w:hint="eastAsia" w:ascii="宋体" w:hAnsi="宋体" w:eastAsia="宋体" w:cs="Times New Roman"/>
          <w:sz w:val="24"/>
          <w:szCs w:val="24"/>
          <w:lang w:val="zh-CN"/>
        </w:rPr>
        <w:t xml:space="preserve"> 月</w:t>
      </w:r>
      <w:r>
        <w:rPr>
          <w:rFonts w:hint="eastAsia" w:ascii="宋体" w:hAnsi="宋体" w:eastAsia="宋体" w:cs="Times New Roman"/>
          <w:sz w:val="24"/>
          <w:szCs w:val="24"/>
          <w:u w:val="single"/>
          <w:lang w:val="zh-CN"/>
        </w:rPr>
        <w:t xml:space="preserve">  </w:t>
      </w:r>
      <w:r>
        <w:rPr>
          <w:rFonts w:ascii="宋体" w:hAnsi="宋体" w:eastAsia="宋体" w:cs="Times New Roman"/>
          <w:sz w:val="24"/>
          <w:szCs w:val="24"/>
          <w:u w:val="single"/>
          <w:lang w:val="zh-CN"/>
        </w:rPr>
        <w:t xml:space="preserve">  </w:t>
      </w:r>
      <w:r>
        <w:rPr>
          <w:rFonts w:hint="eastAsia" w:ascii="宋体" w:hAnsi="宋体" w:eastAsia="宋体" w:cs="Times New Roman"/>
          <w:sz w:val="24"/>
          <w:szCs w:val="24"/>
          <w:u w:val="single"/>
          <w:lang w:val="zh-CN"/>
        </w:rPr>
        <w:t xml:space="preserve"> </w:t>
      </w:r>
      <w:r>
        <w:rPr>
          <w:rFonts w:hint="eastAsia" w:ascii="宋体" w:hAnsi="宋体" w:eastAsia="宋体" w:cs="Times New Roman"/>
          <w:sz w:val="24"/>
          <w:szCs w:val="24"/>
          <w:lang w:val="zh-CN"/>
        </w:rPr>
        <w:t>日</w:t>
      </w:r>
    </w:p>
    <w:p w14:paraId="0DEA1CAF">
      <w:pPr>
        <w:autoSpaceDE w:val="0"/>
        <w:autoSpaceDN w:val="0"/>
        <w:spacing w:before="295" w:after="295"/>
        <w:rPr>
          <w:rFonts w:ascii="宋体" w:hAnsi="宋体" w:eastAsia="宋体" w:cs="Times New Roman"/>
          <w:sz w:val="24"/>
          <w:szCs w:val="24"/>
          <w:lang w:val="zh-CN"/>
        </w:rPr>
      </w:pPr>
    </w:p>
    <w:p w14:paraId="6D86CC06">
      <w:pPr>
        <w:autoSpaceDE w:val="0"/>
        <w:autoSpaceDN w:val="0"/>
        <w:spacing w:line="640" w:lineRule="exact"/>
        <w:rPr>
          <w:rFonts w:ascii="宋体" w:hAnsi="宋体" w:eastAsia="宋体" w:cs="Times New Roman"/>
          <w:sz w:val="24"/>
          <w:szCs w:val="24"/>
          <w:lang w:val="zh-CN"/>
        </w:rPr>
      </w:pPr>
      <w:r>
        <w:rPr>
          <w:rFonts w:hint="eastAsia" w:ascii="宋体" w:hAnsi="宋体" w:eastAsia="宋体" w:cs="Times New Roman"/>
          <w:sz w:val="24"/>
          <w:szCs w:val="24"/>
          <w:lang w:val="zh-CN"/>
        </w:rPr>
        <w:br w:type="page"/>
      </w:r>
      <w:r>
        <w:rPr>
          <w:rFonts w:hint="eastAsia" w:ascii="宋体" w:hAnsi="宋体" w:eastAsia="宋体" w:cs="Times New Roman"/>
          <w:sz w:val="24"/>
          <w:szCs w:val="24"/>
          <w:lang w:val="zh-CN"/>
        </w:rPr>
        <w:t>附件2：</w:t>
      </w:r>
    </w:p>
    <w:p w14:paraId="4A2D0EEC">
      <w:pPr>
        <w:autoSpaceDE w:val="0"/>
        <w:autoSpaceDN w:val="0"/>
        <w:spacing w:line="640" w:lineRule="exact"/>
        <w:jc w:val="center"/>
        <w:rPr>
          <w:rFonts w:ascii="宋体" w:hAnsi="宋体" w:eastAsia="宋体" w:cs="Times New Roman"/>
          <w:sz w:val="24"/>
          <w:szCs w:val="24"/>
          <w:lang w:val="zh-CN"/>
        </w:rPr>
      </w:pPr>
      <w:r>
        <w:rPr>
          <w:rFonts w:hint="eastAsia" w:ascii="宋体" w:hAnsi="宋体" w:eastAsia="宋体" w:cs="Times New Roman"/>
          <w:sz w:val="24"/>
          <w:szCs w:val="24"/>
          <w:lang w:val="zh-CN"/>
        </w:rPr>
        <w:t>报价明细表</w:t>
      </w:r>
    </w:p>
    <w:p w14:paraId="49835C47">
      <w:pPr>
        <w:autoSpaceDE w:val="0"/>
        <w:autoSpaceDN w:val="0"/>
        <w:spacing w:line="640" w:lineRule="exact"/>
        <w:jc w:val="center"/>
        <w:rPr>
          <w:rFonts w:ascii="宋体" w:hAnsi="宋体" w:eastAsia="宋体" w:cs="Times New Roman"/>
          <w:sz w:val="24"/>
          <w:szCs w:val="24"/>
          <w:lang w:val="zh-CN"/>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1845"/>
        <w:gridCol w:w="868"/>
        <w:gridCol w:w="1048"/>
        <w:gridCol w:w="1750"/>
        <w:gridCol w:w="1838"/>
      </w:tblGrid>
      <w:tr w14:paraId="3BB75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990" w:type="dxa"/>
            <w:vAlign w:val="center"/>
          </w:tcPr>
          <w:p w14:paraId="02DBFF93">
            <w:pPr>
              <w:spacing w:line="360" w:lineRule="auto"/>
              <w:jc w:val="center"/>
              <w:rPr>
                <w:rFonts w:ascii="宋体" w:hAnsi="宋体" w:eastAsia="宋体" w:cs="宋体"/>
                <w:sz w:val="24"/>
                <w:szCs w:val="24"/>
              </w:rPr>
            </w:pPr>
            <w:r>
              <w:rPr>
                <w:rFonts w:hint="eastAsia" w:ascii="宋体" w:hAnsi="宋体" w:eastAsia="宋体" w:cs="宋体"/>
                <w:sz w:val="24"/>
                <w:szCs w:val="24"/>
              </w:rPr>
              <w:t>序号</w:t>
            </w:r>
          </w:p>
        </w:tc>
        <w:tc>
          <w:tcPr>
            <w:tcW w:w="1845" w:type="dxa"/>
            <w:vAlign w:val="center"/>
          </w:tcPr>
          <w:p w14:paraId="189C6E9D">
            <w:pPr>
              <w:jc w:val="center"/>
              <w:rPr>
                <w:rFonts w:ascii="宋体" w:hAnsi="宋体" w:eastAsia="宋体" w:cs="宋体"/>
                <w:sz w:val="24"/>
                <w:szCs w:val="24"/>
              </w:rPr>
            </w:pPr>
            <w:r>
              <w:rPr>
                <w:rFonts w:hint="eastAsia" w:ascii="宋体" w:hAnsi="宋体" w:eastAsia="宋体" w:cs="宋体"/>
                <w:sz w:val="24"/>
                <w:szCs w:val="24"/>
                <w:shd w:val="clear" w:color="auto" w:fill="FFFFFF"/>
              </w:rPr>
              <w:t>货物名称</w:t>
            </w:r>
          </w:p>
        </w:tc>
        <w:tc>
          <w:tcPr>
            <w:tcW w:w="868" w:type="dxa"/>
            <w:shd w:val="clear" w:color="auto" w:fill="auto"/>
            <w:vAlign w:val="center"/>
          </w:tcPr>
          <w:p w14:paraId="33C9CAE2">
            <w:pPr>
              <w:jc w:val="center"/>
              <w:rPr>
                <w:rFonts w:ascii="宋体" w:hAnsi="宋体" w:eastAsia="宋体" w:cs="宋体"/>
                <w:sz w:val="24"/>
                <w:szCs w:val="24"/>
              </w:rPr>
            </w:pPr>
            <w:r>
              <w:rPr>
                <w:rFonts w:hint="eastAsia" w:ascii="宋体" w:hAnsi="宋体" w:eastAsia="宋体" w:cs="宋体"/>
                <w:sz w:val="24"/>
                <w:szCs w:val="24"/>
                <w:shd w:val="clear" w:color="auto" w:fill="FFFFFF"/>
              </w:rPr>
              <w:t>数量</w:t>
            </w:r>
          </w:p>
        </w:tc>
        <w:tc>
          <w:tcPr>
            <w:tcW w:w="1048" w:type="dxa"/>
            <w:vAlign w:val="center"/>
          </w:tcPr>
          <w:p w14:paraId="1CC43BE1">
            <w:pPr>
              <w:jc w:val="center"/>
              <w:rPr>
                <w:rFonts w:ascii="宋体" w:hAnsi="宋体" w:eastAsia="宋体" w:cs="宋体"/>
                <w:sz w:val="24"/>
                <w:szCs w:val="24"/>
              </w:rPr>
            </w:pPr>
            <w:r>
              <w:rPr>
                <w:rFonts w:hint="eastAsia" w:ascii="宋体" w:hAnsi="宋体" w:eastAsia="宋体" w:cs="宋体"/>
                <w:sz w:val="24"/>
                <w:szCs w:val="24"/>
                <w:shd w:val="clear" w:color="auto" w:fill="FFFFFF"/>
              </w:rPr>
              <w:t>单位</w:t>
            </w:r>
          </w:p>
        </w:tc>
        <w:tc>
          <w:tcPr>
            <w:tcW w:w="1750" w:type="dxa"/>
            <w:vAlign w:val="center"/>
          </w:tcPr>
          <w:p w14:paraId="21ADD7C1">
            <w:pPr>
              <w:jc w:val="center"/>
              <w:rPr>
                <w:rFonts w:ascii="宋体" w:hAnsi="宋体" w:eastAsia="宋体" w:cs="宋体"/>
                <w:sz w:val="24"/>
                <w:szCs w:val="24"/>
                <w:shd w:val="clear" w:color="auto" w:fill="FFFFFF"/>
              </w:rPr>
            </w:pPr>
            <w:r>
              <w:rPr>
                <w:rFonts w:hint="eastAsia" w:ascii="宋体" w:hAnsi="宋体" w:eastAsia="宋体" w:cs="宋体"/>
                <w:sz w:val="24"/>
                <w:szCs w:val="24"/>
                <w:shd w:val="clear" w:color="auto" w:fill="FFFFFF"/>
              </w:rPr>
              <w:t>单价（元）</w:t>
            </w:r>
          </w:p>
        </w:tc>
        <w:tc>
          <w:tcPr>
            <w:tcW w:w="1838" w:type="dxa"/>
            <w:vAlign w:val="center"/>
          </w:tcPr>
          <w:p w14:paraId="1A2D505A">
            <w:pPr>
              <w:jc w:val="center"/>
              <w:rPr>
                <w:rFonts w:ascii="宋体" w:hAnsi="宋体" w:eastAsia="宋体" w:cs="宋体"/>
                <w:sz w:val="24"/>
                <w:szCs w:val="24"/>
                <w:shd w:val="clear" w:color="auto" w:fill="FFFFFF"/>
              </w:rPr>
            </w:pPr>
            <w:r>
              <w:rPr>
                <w:rFonts w:hint="eastAsia" w:ascii="宋体" w:hAnsi="宋体" w:eastAsia="宋体" w:cs="宋体"/>
                <w:sz w:val="24"/>
                <w:szCs w:val="24"/>
                <w:shd w:val="clear" w:color="auto" w:fill="FFFFFF"/>
              </w:rPr>
              <w:t>合价（元）</w:t>
            </w:r>
          </w:p>
        </w:tc>
      </w:tr>
      <w:tr w14:paraId="614FE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990" w:type="dxa"/>
            <w:vAlign w:val="center"/>
          </w:tcPr>
          <w:p w14:paraId="5F749868">
            <w:pPr>
              <w:spacing w:line="280" w:lineRule="exact"/>
              <w:jc w:val="center"/>
              <w:outlineLvl w:val="1"/>
              <w:rPr>
                <w:rFonts w:ascii="宋体" w:hAnsi="宋体" w:eastAsia="宋体" w:cs="宋体"/>
                <w:sz w:val="24"/>
                <w:szCs w:val="24"/>
              </w:rPr>
            </w:pPr>
            <w:r>
              <w:rPr>
                <w:rFonts w:hint="eastAsia" w:ascii="宋体" w:hAnsi="宋体" w:eastAsia="宋体" w:cs="宋体"/>
                <w:sz w:val="24"/>
                <w:szCs w:val="24"/>
              </w:rPr>
              <w:t>1</w:t>
            </w:r>
          </w:p>
        </w:tc>
        <w:tc>
          <w:tcPr>
            <w:tcW w:w="1845" w:type="dxa"/>
            <w:vAlign w:val="center"/>
          </w:tcPr>
          <w:p w14:paraId="2FF7F2EC">
            <w:pPr>
              <w:spacing w:line="280" w:lineRule="exact"/>
              <w:jc w:val="center"/>
              <w:outlineLvl w:val="1"/>
              <w:rPr>
                <w:rFonts w:ascii="宋体" w:hAnsi="宋体" w:eastAsia="宋体" w:cs="宋体"/>
                <w:sz w:val="24"/>
                <w:szCs w:val="24"/>
              </w:rPr>
            </w:pPr>
            <w:r>
              <w:rPr>
                <w:rFonts w:hint="eastAsia" w:ascii="宋体" w:hAnsi="宋体" w:eastAsia="宋体" w:cs="宋体"/>
                <w:sz w:val="24"/>
                <w:szCs w:val="24"/>
              </w:rPr>
              <w:t>线上展览活动</w:t>
            </w:r>
          </w:p>
        </w:tc>
        <w:tc>
          <w:tcPr>
            <w:tcW w:w="868" w:type="dxa"/>
            <w:shd w:val="clear" w:color="auto" w:fill="auto"/>
            <w:vAlign w:val="center"/>
          </w:tcPr>
          <w:p w14:paraId="1A017A6B">
            <w:pPr>
              <w:spacing w:line="280" w:lineRule="exact"/>
              <w:jc w:val="center"/>
              <w:outlineLvl w:val="1"/>
              <w:rPr>
                <w:rFonts w:ascii="宋体" w:hAnsi="宋体" w:eastAsia="宋体" w:cs="宋体"/>
                <w:sz w:val="24"/>
                <w:szCs w:val="24"/>
              </w:rPr>
            </w:pPr>
            <w:r>
              <w:rPr>
                <w:rFonts w:hint="eastAsia" w:ascii="宋体" w:hAnsi="宋体" w:eastAsia="宋体" w:cs="宋体"/>
                <w:sz w:val="24"/>
                <w:szCs w:val="24"/>
              </w:rPr>
              <w:t>44</w:t>
            </w:r>
          </w:p>
        </w:tc>
        <w:tc>
          <w:tcPr>
            <w:tcW w:w="1048" w:type="dxa"/>
            <w:vAlign w:val="center"/>
          </w:tcPr>
          <w:p w14:paraId="75048334">
            <w:pPr>
              <w:spacing w:line="280" w:lineRule="exact"/>
              <w:jc w:val="center"/>
              <w:outlineLvl w:val="1"/>
              <w:rPr>
                <w:rFonts w:ascii="宋体" w:hAnsi="宋体" w:eastAsia="宋体" w:cs="宋体"/>
                <w:sz w:val="24"/>
                <w:szCs w:val="24"/>
              </w:rPr>
            </w:pPr>
            <w:r>
              <w:rPr>
                <w:rFonts w:hint="eastAsia" w:ascii="宋体" w:hAnsi="宋体" w:eastAsia="宋体" w:cs="宋体"/>
                <w:sz w:val="24"/>
                <w:szCs w:val="24"/>
                <w:shd w:val="clear" w:color="auto" w:fill="FFFFFF"/>
              </w:rPr>
              <w:t>场</w:t>
            </w:r>
          </w:p>
        </w:tc>
        <w:tc>
          <w:tcPr>
            <w:tcW w:w="1750" w:type="dxa"/>
            <w:vAlign w:val="center"/>
          </w:tcPr>
          <w:p w14:paraId="37AE6608">
            <w:pPr>
              <w:spacing w:line="280" w:lineRule="exact"/>
              <w:jc w:val="center"/>
              <w:outlineLvl w:val="1"/>
              <w:rPr>
                <w:rFonts w:ascii="宋体" w:hAnsi="宋体" w:eastAsia="宋体" w:cs="宋体"/>
                <w:sz w:val="24"/>
                <w:szCs w:val="24"/>
              </w:rPr>
            </w:pPr>
          </w:p>
        </w:tc>
        <w:tc>
          <w:tcPr>
            <w:tcW w:w="1838" w:type="dxa"/>
            <w:vAlign w:val="center"/>
          </w:tcPr>
          <w:p w14:paraId="147BA111">
            <w:pPr>
              <w:spacing w:line="280" w:lineRule="exact"/>
              <w:jc w:val="center"/>
              <w:outlineLvl w:val="1"/>
              <w:rPr>
                <w:rFonts w:ascii="宋体" w:hAnsi="宋体" w:eastAsia="宋体" w:cs="宋体"/>
                <w:sz w:val="24"/>
                <w:szCs w:val="24"/>
              </w:rPr>
            </w:pPr>
          </w:p>
        </w:tc>
      </w:tr>
      <w:tr w14:paraId="2C293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835" w:type="dxa"/>
            <w:gridSpan w:val="2"/>
            <w:vAlign w:val="center"/>
          </w:tcPr>
          <w:p w14:paraId="18242FD7">
            <w:pPr>
              <w:spacing w:line="280" w:lineRule="exact"/>
              <w:jc w:val="center"/>
              <w:outlineLvl w:val="1"/>
              <w:rPr>
                <w:rFonts w:ascii="宋体" w:hAnsi="宋体" w:eastAsia="宋体" w:cs="宋体"/>
                <w:sz w:val="24"/>
                <w:szCs w:val="24"/>
              </w:rPr>
            </w:pPr>
            <w:r>
              <w:rPr>
                <w:rFonts w:hint="eastAsia" w:ascii="宋体" w:hAnsi="宋体" w:eastAsia="宋体" w:cs="宋体"/>
                <w:sz w:val="24"/>
                <w:szCs w:val="24"/>
              </w:rPr>
              <w:t>总价</w:t>
            </w:r>
          </w:p>
        </w:tc>
        <w:tc>
          <w:tcPr>
            <w:tcW w:w="5504" w:type="dxa"/>
            <w:gridSpan w:val="4"/>
            <w:shd w:val="clear" w:color="auto" w:fill="auto"/>
            <w:vAlign w:val="center"/>
          </w:tcPr>
          <w:p w14:paraId="59146483">
            <w:pPr>
              <w:spacing w:line="280" w:lineRule="exact"/>
              <w:jc w:val="right"/>
              <w:outlineLvl w:val="1"/>
              <w:rPr>
                <w:rFonts w:ascii="宋体" w:hAnsi="宋体" w:eastAsia="宋体" w:cs="宋体"/>
                <w:sz w:val="24"/>
                <w:szCs w:val="24"/>
              </w:rPr>
            </w:pPr>
            <w:r>
              <w:rPr>
                <w:rFonts w:hint="eastAsia" w:ascii="宋体" w:hAnsi="宋体" w:eastAsia="宋体" w:cs="宋体"/>
                <w:sz w:val="24"/>
                <w:szCs w:val="24"/>
              </w:rPr>
              <w:t>（元）</w:t>
            </w:r>
          </w:p>
        </w:tc>
      </w:tr>
    </w:tbl>
    <w:p w14:paraId="7827F6C8">
      <w:pPr>
        <w:spacing w:line="360" w:lineRule="auto"/>
        <w:jc w:val="left"/>
        <w:outlineLvl w:val="0"/>
        <w:rPr>
          <w:rFonts w:ascii="宋体" w:hAnsi="宋体" w:eastAsia="宋体" w:cs="Times New Roman"/>
          <w:kern w:val="44"/>
          <w:sz w:val="24"/>
          <w:szCs w:val="24"/>
          <w:lang w:val="zh-CN"/>
        </w:rPr>
      </w:pPr>
    </w:p>
    <w:p w14:paraId="63F45E24">
      <w:pPr>
        <w:spacing w:line="480" w:lineRule="auto"/>
        <w:jc w:val="left"/>
        <w:outlineLvl w:val="0"/>
        <w:rPr>
          <w:rFonts w:ascii="宋体" w:hAnsi="宋体" w:eastAsia="宋体" w:cs="Times New Roman"/>
          <w:kern w:val="44"/>
          <w:sz w:val="24"/>
          <w:szCs w:val="24"/>
          <w:lang w:val="zh-CN"/>
        </w:rPr>
      </w:pPr>
      <w:r>
        <w:rPr>
          <w:rFonts w:hint="eastAsia" w:ascii="宋体" w:hAnsi="宋体" w:eastAsia="宋体" w:cs="Times New Roman"/>
          <w:kern w:val="44"/>
          <w:sz w:val="24"/>
          <w:szCs w:val="24"/>
          <w:lang w:val="zh-CN"/>
        </w:rPr>
        <w:t xml:space="preserve">投标人名称（公章）：  </w:t>
      </w:r>
    </w:p>
    <w:p w14:paraId="5B77F48E">
      <w:pPr>
        <w:spacing w:line="480" w:lineRule="auto"/>
        <w:jc w:val="left"/>
        <w:outlineLvl w:val="0"/>
        <w:rPr>
          <w:rFonts w:ascii="宋体" w:hAnsi="宋体" w:eastAsia="宋体" w:cs="Times New Roman"/>
          <w:kern w:val="44"/>
          <w:sz w:val="24"/>
          <w:szCs w:val="24"/>
          <w:lang w:val="zh-CN"/>
        </w:rPr>
      </w:pPr>
      <w:r>
        <w:rPr>
          <w:rFonts w:hint="eastAsia" w:ascii="宋体" w:hAnsi="宋体" w:eastAsia="宋体" w:cs="Times New Roman"/>
          <w:kern w:val="44"/>
          <w:sz w:val="24"/>
          <w:szCs w:val="24"/>
          <w:lang w:val="zh-CN"/>
        </w:rPr>
        <w:t xml:space="preserve">法定代表人或其授权代表（签字或盖章）：   </w:t>
      </w:r>
    </w:p>
    <w:p w14:paraId="673310C1">
      <w:pPr>
        <w:spacing w:line="480" w:lineRule="auto"/>
        <w:jc w:val="left"/>
        <w:outlineLvl w:val="0"/>
        <w:rPr>
          <w:rFonts w:ascii="宋体" w:hAnsi="宋体" w:eastAsia="宋体" w:cs="Times New Roman"/>
          <w:kern w:val="44"/>
          <w:sz w:val="24"/>
          <w:szCs w:val="24"/>
          <w:lang w:val="zh-CN"/>
        </w:rPr>
      </w:pPr>
      <w:r>
        <w:rPr>
          <w:rFonts w:hint="eastAsia" w:ascii="宋体" w:hAnsi="宋体" w:eastAsia="宋体" w:cs="Times New Roman"/>
          <w:kern w:val="44"/>
          <w:sz w:val="24"/>
          <w:szCs w:val="24"/>
          <w:lang w:val="zh-CN"/>
        </w:rPr>
        <w:t xml:space="preserve">日期：  </w:t>
      </w:r>
      <w:r>
        <w:rPr>
          <w:rFonts w:ascii="宋体" w:hAnsi="宋体" w:eastAsia="宋体" w:cs="Times New Roman"/>
          <w:kern w:val="44"/>
          <w:sz w:val="24"/>
          <w:szCs w:val="24"/>
          <w:lang w:val="zh-CN"/>
        </w:rPr>
        <w:t xml:space="preserve">    </w:t>
      </w:r>
      <w:r>
        <w:rPr>
          <w:rFonts w:hint="eastAsia" w:ascii="宋体" w:hAnsi="宋体" w:eastAsia="宋体" w:cs="Times New Roman"/>
          <w:kern w:val="44"/>
          <w:sz w:val="24"/>
          <w:szCs w:val="24"/>
          <w:lang w:val="zh-CN"/>
        </w:rPr>
        <w:t xml:space="preserve">   年      月  </w:t>
      </w:r>
      <w:r>
        <w:rPr>
          <w:rFonts w:hint="eastAsia" w:ascii="宋体" w:hAnsi="宋体" w:eastAsia="宋体" w:cs="Times New Roman"/>
          <w:kern w:val="44"/>
          <w:sz w:val="24"/>
          <w:szCs w:val="24"/>
        </w:rPr>
        <w:t xml:space="preserve">   </w:t>
      </w:r>
      <w:r>
        <w:rPr>
          <w:rFonts w:hint="eastAsia" w:ascii="宋体" w:hAnsi="宋体" w:eastAsia="宋体" w:cs="Times New Roman"/>
          <w:kern w:val="44"/>
          <w:sz w:val="24"/>
          <w:szCs w:val="24"/>
          <w:lang w:val="zh-CN"/>
        </w:rPr>
        <w:t xml:space="preserve"> 日         </w:t>
      </w:r>
    </w:p>
    <w:p w14:paraId="47C0CD66">
      <w:pPr>
        <w:spacing w:line="480" w:lineRule="auto"/>
        <w:jc w:val="center"/>
        <w:outlineLvl w:val="0"/>
        <w:rPr>
          <w:rFonts w:ascii="宋体" w:hAnsi="宋体" w:eastAsia="宋体" w:cs="Times New Roman"/>
          <w:kern w:val="44"/>
          <w:sz w:val="24"/>
          <w:szCs w:val="24"/>
          <w:lang w:val="zh-CN"/>
        </w:rPr>
      </w:pPr>
    </w:p>
    <w:p w14:paraId="6E6C70C4">
      <w:pPr>
        <w:spacing w:line="360" w:lineRule="auto"/>
        <w:jc w:val="center"/>
        <w:outlineLvl w:val="0"/>
        <w:rPr>
          <w:rFonts w:ascii="宋体" w:hAnsi="宋体" w:eastAsia="宋体" w:cs="Times New Roman"/>
          <w:kern w:val="44"/>
          <w:sz w:val="24"/>
          <w:szCs w:val="24"/>
          <w:lang w:val="zh-CN"/>
        </w:rPr>
      </w:pPr>
    </w:p>
    <w:p w14:paraId="1218036C">
      <w:pPr>
        <w:widowControl/>
        <w:jc w:val="left"/>
        <w:rPr>
          <w:rFonts w:ascii="宋体" w:hAnsi="宋体" w:eastAsia="宋体" w:cs="Times New Roman"/>
          <w:sz w:val="24"/>
          <w:szCs w:val="24"/>
          <w:lang w:val="zh-CN"/>
        </w:rPr>
      </w:pPr>
      <w:r>
        <w:rPr>
          <w:rFonts w:ascii="宋体" w:hAnsi="宋体" w:eastAsia="宋体" w:cs="Times New Roman"/>
          <w:sz w:val="24"/>
          <w:szCs w:val="24"/>
          <w:lang w:val="zh-CN"/>
        </w:rPr>
        <w:br w:type="page"/>
      </w:r>
    </w:p>
    <w:p w14:paraId="256E0513">
      <w:pPr>
        <w:autoSpaceDE w:val="0"/>
        <w:autoSpaceDN w:val="0"/>
        <w:spacing w:line="640" w:lineRule="exact"/>
        <w:rPr>
          <w:rFonts w:ascii="宋体" w:hAnsi="宋体" w:eastAsia="宋体" w:cs="Times New Roman"/>
          <w:sz w:val="24"/>
          <w:szCs w:val="24"/>
          <w:lang w:val="zh-CN"/>
        </w:rPr>
      </w:pPr>
      <w:r>
        <w:rPr>
          <w:rFonts w:hint="eastAsia" w:ascii="宋体" w:hAnsi="宋体" w:eastAsia="宋体" w:cs="Times New Roman"/>
          <w:sz w:val="24"/>
          <w:szCs w:val="24"/>
          <w:lang w:val="zh-CN"/>
        </w:rPr>
        <w:t>附件</w:t>
      </w:r>
      <w:r>
        <w:rPr>
          <w:rFonts w:ascii="宋体" w:hAnsi="宋体" w:eastAsia="宋体" w:cs="Times New Roman"/>
          <w:sz w:val="24"/>
          <w:szCs w:val="24"/>
        </w:rPr>
        <w:t>3</w:t>
      </w:r>
      <w:r>
        <w:rPr>
          <w:rFonts w:hint="eastAsia" w:ascii="宋体" w:hAnsi="宋体" w:eastAsia="宋体" w:cs="Times New Roman"/>
          <w:sz w:val="24"/>
          <w:szCs w:val="24"/>
        </w:rPr>
        <w:t>：</w:t>
      </w:r>
    </w:p>
    <w:p w14:paraId="6EF4DFEA">
      <w:pPr>
        <w:keepNext/>
        <w:keepLines/>
        <w:spacing w:before="340" w:after="330" w:line="576" w:lineRule="auto"/>
        <w:outlineLvl w:val="0"/>
        <w:rPr>
          <w:rFonts w:ascii="宋体" w:hAnsi="宋体" w:eastAsia="宋体" w:cs="Times New Roman"/>
          <w:sz w:val="24"/>
          <w:szCs w:val="24"/>
          <w:lang w:val="zh-CN"/>
        </w:rPr>
      </w:pPr>
      <w:r>
        <w:rPr>
          <w:rFonts w:hint="eastAsia" w:ascii="宋体" w:hAnsi="宋体" w:eastAsia="宋体" w:cs="Times New Roman"/>
          <w:sz w:val="24"/>
          <w:szCs w:val="24"/>
          <w:lang w:val="zh-CN"/>
        </w:rPr>
        <w:t>供应商资格要求相关证明文件（提供复印件加盖公章）</w:t>
      </w:r>
    </w:p>
    <w:p w14:paraId="5786FBEF">
      <w:pPr>
        <w:rPr>
          <w:rFonts w:ascii="宋体" w:hAnsi="宋体" w:eastAsia="宋体" w:cs="Times New Roman"/>
          <w:sz w:val="24"/>
          <w:szCs w:val="24"/>
          <w:lang w:val="zh-CN"/>
        </w:rPr>
      </w:pPr>
    </w:p>
    <w:p w14:paraId="6D0A5FCE">
      <w:pPr>
        <w:rPr>
          <w:rFonts w:ascii="宋体" w:hAnsi="宋体" w:eastAsia="宋体" w:cs="Times New Roman"/>
          <w:sz w:val="24"/>
          <w:szCs w:val="24"/>
          <w:lang w:val="zh-CN"/>
        </w:rPr>
      </w:pPr>
    </w:p>
    <w:p w14:paraId="51E25221">
      <w:pPr>
        <w:rPr>
          <w:rFonts w:ascii="宋体" w:hAnsi="宋体" w:eastAsia="宋体" w:cs="Times New Roman"/>
          <w:sz w:val="24"/>
          <w:szCs w:val="24"/>
          <w:lang w:val="zh-CN"/>
        </w:rPr>
      </w:pPr>
    </w:p>
    <w:p w14:paraId="7B9B4853">
      <w:pPr>
        <w:rPr>
          <w:rFonts w:ascii="宋体" w:hAnsi="宋体" w:eastAsia="宋体" w:cs="Times New Roman"/>
          <w:sz w:val="24"/>
          <w:szCs w:val="24"/>
          <w:lang w:val="zh-CN"/>
        </w:rPr>
      </w:pPr>
    </w:p>
    <w:p w14:paraId="27AA28E2">
      <w:pPr>
        <w:rPr>
          <w:rFonts w:ascii="宋体" w:hAnsi="宋体" w:eastAsia="宋体" w:cs="Times New Roman"/>
          <w:sz w:val="24"/>
          <w:szCs w:val="24"/>
          <w:lang w:val="zh-CN"/>
        </w:rPr>
      </w:pPr>
    </w:p>
    <w:p w14:paraId="6682B711">
      <w:pPr>
        <w:rPr>
          <w:rFonts w:ascii="宋体" w:hAnsi="宋体" w:eastAsia="宋体" w:cs="Times New Roman"/>
          <w:sz w:val="24"/>
          <w:szCs w:val="24"/>
          <w:lang w:val="zh-CN"/>
        </w:rPr>
      </w:pPr>
    </w:p>
    <w:p w14:paraId="60D28C0C">
      <w:pPr>
        <w:rPr>
          <w:rFonts w:ascii="宋体" w:hAnsi="宋体" w:eastAsia="宋体" w:cs="Times New Roman"/>
          <w:sz w:val="24"/>
          <w:szCs w:val="24"/>
          <w:lang w:val="zh-CN"/>
        </w:rPr>
      </w:pPr>
    </w:p>
    <w:p w14:paraId="0C7CC972">
      <w:pPr>
        <w:rPr>
          <w:rFonts w:ascii="宋体" w:hAnsi="宋体" w:eastAsia="宋体" w:cs="Times New Roman"/>
          <w:sz w:val="24"/>
          <w:szCs w:val="24"/>
          <w:lang w:val="zh-CN"/>
        </w:rPr>
      </w:pPr>
    </w:p>
    <w:p w14:paraId="29B06D6F">
      <w:pPr>
        <w:widowControl/>
        <w:jc w:val="left"/>
        <w:rPr>
          <w:rFonts w:ascii="宋体" w:hAnsi="宋体" w:eastAsia="宋体" w:cs="Times New Roman"/>
          <w:sz w:val="24"/>
          <w:szCs w:val="24"/>
          <w:lang w:val="zh-CN"/>
        </w:rPr>
      </w:pPr>
      <w:r>
        <w:rPr>
          <w:rFonts w:ascii="宋体" w:hAnsi="宋体" w:eastAsia="宋体" w:cs="Times New Roman"/>
          <w:sz w:val="24"/>
          <w:szCs w:val="24"/>
          <w:lang w:val="zh-CN"/>
        </w:rPr>
        <w:br w:type="page"/>
      </w:r>
    </w:p>
    <w:p w14:paraId="6904D2CD">
      <w:pPr>
        <w:rPr>
          <w:rFonts w:ascii="宋体" w:hAnsi="宋体" w:eastAsia="宋体" w:cs="Times New Roman"/>
          <w:sz w:val="24"/>
          <w:szCs w:val="24"/>
        </w:rPr>
      </w:pPr>
      <w:r>
        <w:rPr>
          <w:rFonts w:hint="eastAsia" w:ascii="宋体" w:hAnsi="宋体" w:eastAsia="宋体" w:cs="Times New Roman"/>
          <w:sz w:val="24"/>
          <w:szCs w:val="24"/>
        </w:rPr>
        <w:t>附件</w:t>
      </w:r>
      <w:r>
        <w:rPr>
          <w:rFonts w:ascii="宋体" w:hAnsi="宋体" w:eastAsia="宋体" w:cs="Times New Roman"/>
          <w:sz w:val="24"/>
          <w:szCs w:val="24"/>
        </w:rPr>
        <w:t>4</w:t>
      </w:r>
      <w:r>
        <w:rPr>
          <w:rFonts w:hint="eastAsia" w:ascii="宋体" w:hAnsi="宋体" w:eastAsia="宋体" w:cs="Times New Roman"/>
          <w:sz w:val="24"/>
          <w:szCs w:val="24"/>
        </w:rPr>
        <w:t>：</w:t>
      </w:r>
    </w:p>
    <w:p w14:paraId="64C62C95">
      <w:pPr>
        <w:keepNext/>
        <w:keepLines/>
        <w:spacing w:before="340" w:after="330" w:line="576" w:lineRule="auto"/>
        <w:outlineLvl w:val="0"/>
        <w:rPr>
          <w:rFonts w:ascii="宋体" w:hAnsi="宋体" w:eastAsia="宋体" w:cs="Times New Roman"/>
          <w:sz w:val="24"/>
          <w:szCs w:val="24"/>
        </w:rPr>
      </w:pPr>
      <w:r>
        <w:rPr>
          <w:rFonts w:hint="eastAsia" w:ascii="宋体" w:hAnsi="宋体" w:eastAsia="宋体" w:cs="Times New Roman"/>
          <w:sz w:val="24"/>
          <w:szCs w:val="24"/>
        </w:rPr>
        <w:t>供应商认为需要提交的其他材料（如无，可不填）</w:t>
      </w:r>
    </w:p>
    <w:p w14:paraId="3648B26A">
      <w:pPr>
        <w:rPr>
          <w:rFonts w:ascii="Calibri" w:hAnsi="Calibri" w:eastAsia="宋体" w:cs="Times New Roman"/>
          <w:szCs w:val="24"/>
        </w:rPr>
      </w:pPr>
    </w:p>
    <w:p w14:paraId="1979EE0E">
      <w:pPr>
        <w:widowControl/>
        <w:ind w:firstLine="420"/>
        <w:jc w:val="left"/>
        <w:rPr>
          <w:rFonts w:ascii="宋体" w:hAnsi="宋体" w:eastAsia="宋体" w:cs="Times New Roman"/>
          <w:sz w:val="24"/>
          <w:szCs w:val="24"/>
        </w:rPr>
      </w:pPr>
    </w:p>
    <w:p w14:paraId="5963AC7F">
      <w:pPr>
        <w:rPr>
          <w:rFonts w:ascii="Calibri" w:hAnsi="Calibri" w:eastAsia="宋体" w:cs="Times New Roman"/>
          <w:szCs w:val="24"/>
        </w:rPr>
      </w:pPr>
    </w:p>
    <w:p w14:paraId="1A8DEEAE">
      <w:pPr>
        <w:widowControl/>
        <w:jc w:val="left"/>
        <w:rPr>
          <w:rFonts w:ascii="仿宋" w:hAnsi="仿宋" w:eastAsia="仿宋" w:cs="仿宋_GB2312"/>
          <w:b/>
          <w:color w:val="000000" w:themeColor="text1"/>
          <w:sz w:val="32"/>
          <w:szCs w:val="32"/>
          <w:shd w:val="clear" w:color="auto" w:fill="FFFFFF"/>
          <w14:textFill>
            <w14:solidFill>
              <w14:schemeClr w14:val="tx1"/>
            </w14:solidFill>
          </w14:textFill>
        </w:rPr>
      </w:pPr>
    </w:p>
    <w:p w14:paraId="2A1C4CA3">
      <w:pPr>
        <w:widowControl/>
        <w:jc w:val="left"/>
        <w:rPr>
          <w:rFonts w:ascii="仿宋" w:hAnsi="仿宋" w:eastAsia="仿宋" w:cs="仿宋_GB2312"/>
          <w:b/>
          <w:color w:val="000000" w:themeColor="text1"/>
          <w:sz w:val="32"/>
          <w:szCs w:val="32"/>
          <w:shd w:val="clear" w:color="auto" w:fill="FFFFFF"/>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59D"/>
    <w:rsid w:val="000235E9"/>
    <w:rsid w:val="000964BC"/>
    <w:rsid w:val="000D4514"/>
    <w:rsid w:val="000F465D"/>
    <w:rsid w:val="00105FC9"/>
    <w:rsid w:val="00126267"/>
    <w:rsid w:val="0013217B"/>
    <w:rsid w:val="00141F77"/>
    <w:rsid w:val="00144BF0"/>
    <w:rsid w:val="0015168D"/>
    <w:rsid w:val="0016430E"/>
    <w:rsid w:val="00190864"/>
    <w:rsid w:val="001B3A44"/>
    <w:rsid w:val="001E78A1"/>
    <w:rsid w:val="002B1DFC"/>
    <w:rsid w:val="002E6217"/>
    <w:rsid w:val="003068C8"/>
    <w:rsid w:val="0038183E"/>
    <w:rsid w:val="0039252E"/>
    <w:rsid w:val="003A66B7"/>
    <w:rsid w:val="003E04D3"/>
    <w:rsid w:val="003E0BE2"/>
    <w:rsid w:val="003F1027"/>
    <w:rsid w:val="00405F59"/>
    <w:rsid w:val="004819A2"/>
    <w:rsid w:val="004A7D3B"/>
    <w:rsid w:val="004B6D86"/>
    <w:rsid w:val="004D712A"/>
    <w:rsid w:val="004E2848"/>
    <w:rsid w:val="004F6C0E"/>
    <w:rsid w:val="006446CB"/>
    <w:rsid w:val="00654216"/>
    <w:rsid w:val="00666C95"/>
    <w:rsid w:val="006A7088"/>
    <w:rsid w:val="006B7012"/>
    <w:rsid w:val="007A3E26"/>
    <w:rsid w:val="007D759D"/>
    <w:rsid w:val="00837325"/>
    <w:rsid w:val="00885654"/>
    <w:rsid w:val="008A1D4B"/>
    <w:rsid w:val="009125D7"/>
    <w:rsid w:val="0092346F"/>
    <w:rsid w:val="00954A4F"/>
    <w:rsid w:val="00973D85"/>
    <w:rsid w:val="00991212"/>
    <w:rsid w:val="00995EBE"/>
    <w:rsid w:val="009E3F03"/>
    <w:rsid w:val="00A47E4B"/>
    <w:rsid w:val="00A73386"/>
    <w:rsid w:val="00A8154C"/>
    <w:rsid w:val="00AB7E58"/>
    <w:rsid w:val="00B03E6A"/>
    <w:rsid w:val="00B53FC5"/>
    <w:rsid w:val="00B668A0"/>
    <w:rsid w:val="00BE2BD9"/>
    <w:rsid w:val="00C14D98"/>
    <w:rsid w:val="00C21ACA"/>
    <w:rsid w:val="00C236E3"/>
    <w:rsid w:val="00C634ED"/>
    <w:rsid w:val="00C81E4C"/>
    <w:rsid w:val="00C85B2F"/>
    <w:rsid w:val="00CA13BC"/>
    <w:rsid w:val="00CB3161"/>
    <w:rsid w:val="00CF6EF7"/>
    <w:rsid w:val="00D26461"/>
    <w:rsid w:val="00D46C50"/>
    <w:rsid w:val="00D657F2"/>
    <w:rsid w:val="00DD128E"/>
    <w:rsid w:val="00DD1687"/>
    <w:rsid w:val="00E07F73"/>
    <w:rsid w:val="00E65825"/>
    <w:rsid w:val="00E83CA0"/>
    <w:rsid w:val="00EB4ED8"/>
    <w:rsid w:val="00F45B8E"/>
    <w:rsid w:val="00F80986"/>
    <w:rsid w:val="00F912E8"/>
    <w:rsid w:val="00FE0DAD"/>
    <w:rsid w:val="03E64575"/>
    <w:rsid w:val="071F2612"/>
    <w:rsid w:val="09383E5F"/>
    <w:rsid w:val="0A5A370F"/>
    <w:rsid w:val="0B3A5C6C"/>
    <w:rsid w:val="12137217"/>
    <w:rsid w:val="181F691B"/>
    <w:rsid w:val="192E2469"/>
    <w:rsid w:val="19574A0C"/>
    <w:rsid w:val="1AA341BB"/>
    <w:rsid w:val="1C67088B"/>
    <w:rsid w:val="1F8D5DF2"/>
    <w:rsid w:val="20104D96"/>
    <w:rsid w:val="21165730"/>
    <w:rsid w:val="21C347B6"/>
    <w:rsid w:val="29D84DF1"/>
    <w:rsid w:val="2C990ADF"/>
    <w:rsid w:val="3F312907"/>
    <w:rsid w:val="40864ED4"/>
    <w:rsid w:val="41737F2B"/>
    <w:rsid w:val="426218AC"/>
    <w:rsid w:val="434370AD"/>
    <w:rsid w:val="4A344E39"/>
    <w:rsid w:val="4B1A6945"/>
    <w:rsid w:val="4C885B30"/>
    <w:rsid w:val="4D20220D"/>
    <w:rsid w:val="4EE247B8"/>
    <w:rsid w:val="508F56DF"/>
    <w:rsid w:val="5A122ADF"/>
    <w:rsid w:val="5F7F085B"/>
    <w:rsid w:val="60CF38D6"/>
    <w:rsid w:val="61677FB2"/>
    <w:rsid w:val="61877E50"/>
    <w:rsid w:val="68106CAE"/>
    <w:rsid w:val="697673AA"/>
    <w:rsid w:val="722F0339"/>
    <w:rsid w:val="780F38B5"/>
    <w:rsid w:val="7A3D0B8D"/>
    <w:rsid w:val="7FD840FD"/>
    <w:rsid w:val="7FE01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customStyle="1" w:styleId="10">
    <w:name w:val="页眉 字符"/>
    <w:basedOn w:val="8"/>
    <w:link w:val="4"/>
    <w:qFormat/>
    <w:uiPriority w:val="99"/>
    <w:rPr>
      <w:sz w:val="18"/>
      <w:szCs w:val="18"/>
    </w:rPr>
  </w:style>
  <w:style w:type="character" w:customStyle="1" w:styleId="11">
    <w:name w:val="页脚 字符"/>
    <w:basedOn w:val="8"/>
    <w:link w:val="3"/>
    <w:qFormat/>
    <w:uiPriority w:val="99"/>
    <w:rPr>
      <w:sz w:val="18"/>
      <w:szCs w:val="18"/>
    </w:rPr>
  </w:style>
  <w:style w:type="character" w:customStyle="1" w:styleId="12">
    <w:name w:val="批注框文本 字符"/>
    <w:basedOn w:val="8"/>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1F6A0-70B2-4C23-9974-B007E12F63F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3695</Words>
  <Characters>3853</Characters>
  <Lines>29</Lines>
  <Paragraphs>8</Paragraphs>
  <TotalTime>1451</TotalTime>
  <ScaleCrop>false</ScaleCrop>
  <LinksUpToDate>false</LinksUpToDate>
  <CharactersWithSpaces>3940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2025-10-11T08:09:00Z</dcterms:created>
  <dc:creator>ndlib</dc:creator>
  <cp:lastModifiedBy>宁德市图书馆黄涛</cp:lastModifiedBy>
  <cp:lastPrinted>2026-06-26T01:36:00Z</cp:lastPrinted>
  <dcterms:modified xsi:type="dcterms:W3CDTF">2026-06-29T02:31:31Z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eyJoZGlkIjoiM2EyOGQ5YjkzNzE3ZGEyNjdmYzNmM2VkMzE5MTlhOTgifQ==</vt:lpwstr>
  </property>
  <property fmtid="{D5CDD505-2E9C-101B-9397-08002B2CF9AE}" pid="3" name="KSOProductBuildVer">
    <vt:lpwstr>2052-12.1.0.26895</vt:lpwstr>
  </property>
  <property fmtid="{D5CDD505-2E9C-101B-9397-08002B2CF9AE}" pid="4" name="ICV">
    <vt:lpwstr>004FB067A32C49BDBD2ABD38EDED7F96_13</vt:lpwstr>
  </property>
</Properties>
</file>